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EC7E" w14:textId="79286D03" w:rsidR="00F451F2" w:rsidRPr="00D50704" w:rsidRDefault="00F451F2" w:rsidP="00F451F2">
      <w:pPr>
        <w:pStyle w:val="Tytuprogr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240" w:lineRule="auto"/>
        <w:jc w:val="right"/>
        <w:rPr>
          <w:b w:val="0"/>
          <w:bCs w:val="0"/>
          <w:i/>
          <w:iCs/>
          <w:sz w:val="22"/>
          <w:szCs w:val="22"/>
        </w:rPr>
      </w:pPr>
      <w:r w:rsidRPr="00D50704">
        <w:rPr>
          <w:b w:val="0"/>
          <w:bCs w:val="0"/>
          <w:i/>
          <w:iCs/>
          <w:sz w:val="22"/>
          <w:szCs w:val="22"/>
        </w:rPr>
        <w:t>PROJEKT</w:t>
      </w:r>
    </w:p>
    <w:p w14:paraId="4C9A8C23" w14:textId="6A88888A" w:rsidR="00DD186B" w:rsidRPr="00044E23" w:rsidRDefault="00DD186B" w:rsidP="00F451F2">
      <w:pPr>
        <w:pStyle w:val="Tytuprogr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240" w:lineRule="auto"/>
      </w:pPr>
      <w:r w:rsidRPr="00044E23">
        <w:t>Program</w:t>
      </w:r>
      <w:r w:rsidR="00C33BAE">
        <w:t xml:space="preserve"> P</w:t>
      </w:r>
      <w:r w:rsidRPr="00044E23">
        <w:t>riorytetowy EKO-KLIMAT– woda, powietrze, ziemia</w:t>
      </w:r>
    </w:p>
    <w:p w14:paraId="5FFEE677" w14:textId="77777777" w:rsidR="00DD186B" w:rsidRPr="00044E23" w:rsidRDefault="00DD186B" w:rsidP="00730252">
      <w:pPr>
        <w:pStyle w:val="Nagwek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044E23">
        <w:t>Cel programu</w:t>
      </w:r>
      <w:r>
        <w:t xml:space="preserve"> </w:t>
      </w:r>
    </w:p>
    <w:p w14:paraId="50DC5592" w14:textId="525851AD" w:rsidR="00DD186B" w:rsidRPr="0020288D" w:rsidRDefault="00DD186B" w:rsidP="0020288D">
      <w:pPr>
        <w:pStyle w:val="Tek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r w:rsidRPr="00044E23">
        <w:t xml:space="preserve">Celem Programu EKO-KLIMAT – woda, powietrze, ziemia, </w:t>
      </w:r>
      <w:r w:rsidR="00DB2DFD" w:rsidRPr="00C33206">
        <w:t>zwanego</w:t>
      </w:r>
      <w:r w:rsidRPr="00044E23">
        <w:t xml:space="preserve"> dalej Programem, jest wspieranie przedsięwzięć z zakresu </w:t>
      </w:r>
      <w:r>
        <w:t>ochrony środowiska objętych priorytetami w</w:t>
      </w:r>
      <w:r w:rsidR="00DB2DFD">
        <w:t xml:space="preserve"> </w:t>
      </w:r>
      <w:r w:rsidRPr="00611519">
        <w:t>Strategi</w:t>
      </w:r>
      <w:r>
        <w:t>i</w:t>
      </w:r>
      <w:r w:rsidRPr="00611519">
        <w:t xml:space="preserve"> działania Wojewódzkiego Funduszu </w:t>
      </w:r>
      <w:r>
        <w:t xml:space="preserve">Ochrony Środowiska i Gospodarki Wodnej </w:t>
      </w:r>
      <w:r w:rsidRPr="00611519">
        <w:t>w</w:t>
      </w:r>
      <w:r>
        <w:t> </w:t>
      </w:r>
      <w:r w:rsidRPr="00611519">
        <w:t>Toruniu</w:t>
      </w:r>
      <w:r>
        <w:t xml:space="preserve"> na lata 2021 - 2024, przyjętej uchwałą nr 66/20 Rady Nadzorczej z dnia 25.09.2020 r., opublikowanej na stronie internetowej </w:t>
      </w:r>
      <w:hyperlink r:id="rId7" w:history="1">
        <w:r w:rsidRPr="00824CCF">
          <w:rPr>
            <w:rStyle w:val="Hipercze"/>
            <w:rFonts w:cs="Arial Unicode MS"/>
            <w:szCs w:val="28"/>
          </w:rPr>
          <w:t>https://wfosigw.torun.pl/strona-173-strategia_wfosigw_w_toruniu.html</w:t>
        </w:r>
      </w:hyperlink>
      <w:r w:rsidRPr="0020288D">
        <w:rPr>
          <w:color w:val="auto"/>
        </w:rPr>
        <w:t>.</w:t>
      </w:r>
    </w:p>
    <w:p w14:paraId="2FCBA2EC" w14:textId="77777777" w:rsidR="00DD186B" w:rsidRPr="00A015BF" w:rsidRDefault="00DD186B" w:rsidP="00A015BF">
      <w:pPr>
        <w:pStyle w:val="Tek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A015BF">
        <w:t xml:space="preserve">Priorytetem dofinansowania w ramach Programu objęte są </w:t>
      </w:r>
      <w:r w:rsidRPr="00A015BF">
        <w:rPr>
          <w:rFonts w:eastAsia="Times New Roman"/>
        </w:rPr>
        <w:t>inwestycje, koszty operacyjne i działania</w:t>
      </w:r>
      <w:r>
        <w:rPr>
          <w:rFonts w:eastAsia="Times New Roman"/>
        </w:rPr>
        <w:t xml:space="preserve">, </w:t>
      </w:r>
      <w:r w:rsidRPr="00A015BF">
        <w:rPr>
          <w:rFonts w:eastAsia="Times New Roman"/>
        </w:rPr>
        <w:t xml:space="preserve">o których mowa </w:t>
      </w:r>
      <w:r w:rsidRPr="00730252">
        <w:rPr>
          <w:rFonts w:eastAsia="Times New Roman"/>
        </w:rPr>
        <w:t>w art. 400a ust. 1 pkt 38-40</w:t>
      </w:r>
      <w:r>
        <w:rPr>
          <w:rFonts w:eastAsia="Times New Roman"/>
        </w:rPr>
        <w:t xml:space="preserve"> </w:t>
      </w:r>
      <w:r w:rsidRPr="00A015BF">
        <w:rPr>
          <w:rFonts w:eastAsia="Times New Roman"/>
        </w:rPr>
        <w:t xml:space="preserve">ustawy </w:t>
      </w:r>
      <w:r w:rsidRPr="00A015BF">
        <w:t>z dnia 27 kwietnia 2001 r. Prawo ochrony środowiska</w:t>
      </w:r>
      <w:r>
        <w:t>,</w:t>
      </w:r>
      <w:r w:rsidRPr="00A015BF">
        <w:rPr>
          <w:rFonts w:eastAsia="Times New Roman"/>
        </w:rPr>
        <w:t xml:space="preserve"> realizowane z udziałem środków pochodzących z Unii Europejskiej niepodlegających zwrotowi lub z udziałem środków bezzwrotnych pozyskiwanych w ramach współpracy z organizacjami międzynarodowymi oraz współpracy dwustronnej</w:t>
      </w:r>
      <w:r w:rsidRPr="00A015BF">
        <w:t>.</w:t>
      </w:r>
    </w:p>
    <w:p w14:paraId="32360C41" w14:textId="77777777" w:rsidR="00DD186B" w:rsidRPr="00044E23" w:rsidRDefault="00DD186B">
      <w:pPr>
        <w:pStyle w:val="Nagwek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044E23">
        <w:t>Wskaźnik osiągnięcia celu</w:t>
      </w:r>
    </w:p>
    <w:p w14:paraId="5E80EF41" w14:textId="77777777" w:rsidR="00DD186B" w:rsidRPr="00044E23" w:rsidRDefault="00DD186B">
      <w:pPr>
        <w:pStyle w:val="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044E23">
        <w:t>Stopień realizacji celu Programu mierzony będzie wskaźnikami osiągnięcia celu.</w:t>
      </w:r>
    </w:p>
    <w:p w14:paraId="1367820F" w14:textId="77777777" w:rsidR="00DD186B" w:rsidRPr="00044E23" w:rsidRDefault="00DD186B">
      <w:pPr>
        <w:pStyle w:val="Nagwek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044E23">
        <w:t>Podstawy prawne udzielenia dofinansowania</w:t>
      </w:r>
    </w:p>
    <w:p w14:paraId="04F52D14" w14:textId="77777777" w:rsidR="00DD186B" w:rsidRPr="00F451F2" w:rsidRDefault="00DD186B">
      <w:pPr>
        <w:pStyle w:val="Nagwek2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451F2">
        <w:t>Ustawa z dnia 27 kwietnia 2001 r. Prawo ochrony środowiska (Dz.U. z 2021 r., poz. 1973</w:t>
      </w:r>
      <w:r w:rsidRPr="00F451F2">
        <w:br/>
        <w:t>ze zm.), z zastrzeżeniem, że przedsięwzięcia objęte wnioskami o dofinansowanie muszą mieścić się w zakresie finansowania ochrony środowiska i gospodarki wodnej, o którym mowa w art. 400a ust. 1 i art. 400b ust. 2 tej ustawy.</w:t>
      </w:r>
    </w:p>
    <w:p w14:paraId="4CCF1183" w14:textId="74E17EC2" w:rsidR="00DD186B" w:rsidRPr="00F451F2" w:rsidRDefault="00DD186B" w:rsidP="008B722E">
      <w:pPr>
        <w:pStyle w:val="Nagwek2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cs="Calibri"/>
        </w:rPr>
      </w:pPr>
      <w:r w:rsidRPr="00F451F2">
        <w:t>Zasady udziel</w:t>
      </w:r>
      <w:r w:rsidRPr="00F451F2">
        <w:rPr>
          <w:rFonts w:cs="Calibri"/>
        </w:rPr>
        <w:t>ania pomocy finansowej ze środków Wojewódzkiego Funduszu Ochrony Środowiska i Gospodarki Wodnej w Toruniu, przyjęte uchwałą nr …./22 Rady Nadzorczej WFOŚiGW w Toruniu z dnia …0</w:t>
      </w:r>
      <w:r w:rsidR="003F50A2">
        <w:rPr>
          <w:rFonts w:cs="Calibri"/>
        </w:rPr>
        <w:t>5</w:t>
      </w:r>
      <w:r w:rsidRPr="00F451F2">
        <w:rPr>
          <w:rFonts w:cs="Calibri"/>
        </w:rPr>
        <w:t>.2022 r., zwane dalej Zasadami.</w:t>
      </w:r>
    </w:p>
    <w:p w14:paraId="3EDF9FBD" w14:textId="77777777" w:rsidR="00DD186B" w:rsidRPr="00F451F2" w:rsidRDefault="00DD186B">
      <w:pPr>
        <w:pStyle w:val="Nagwek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Calibri"/>
        </w:rPr>
      </w:pPr>
      <w:r w:rsidRPr="00F451F2">
        <w:rPr>
          <w:rFonts w:cs="Calibri"/>
        </w:rPr>
        <w:t>Beneficjenci</w:t>
      </w:r>
    </w:p>
    <w:p w14:paraId="23FFE4A3" w14:textId="7A8DF8DB" w:rsidR="00DD186B" w:rsidRPr="00F451F2" w:rsidRDefault="00DD186B" w:rsidP="00DB2DFD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Calibri" w:hAnsi="Calibri" w:cs="Calibri"/>
          <w:strike/>
        </w:rPr>
      </w:pPr>
      <w:bookmarkStart w:id="0" w:name="_Hlk50882381"/>
      <w:r w:rsidRPr="00F451F2">
        <w:rPr>
          <w:rFonts w:ascii="Calibri" w:hAnsi="Calibri" w:cs="Calibri"/>
        </w:rPr>
        <w:t xml:space="preserve">Beneficjentami Programu są </w:t>
      </w:r>
      <w:bookmarkStart w:id="1" w:name="_Hlk52367253"/>
      <w:r w:rsidRPr="00F451F2">
        <w:rPr>
          <w:rFonts w:ascii="Calibri" w:hAnsi="Calibri" w:cs="Calibri"/>
        </w:rPr>
        <w:t>osoby fizyczne, osoby prawne oraz jednostki organizacyjne nieposiadające osobowości prawnej</w:t>
      </w:r>
      <w:bookmarkEnd w:id="1"/>
      <w:r w:rsidRPr="00F451F2">
        <w:rPr>
          <w:rFonts w:ascii="Calibri" w:hAnsi="Calibri" w:cs="Calibri"/>
        </w:rPr>
        <w:t>, realizujące bądź planujące realizować przedsięwzięcia proekologiczne określone przez Zarząd Wojewódzkiego Funduszu w Regulaminie naboru wniosków o dofinansowanie</w:t>
      </w:r>
      <w:r w:rsidR="003B2F39" w:rsidRPr="00F451F2">
        <w:rPr>
          <w:rFonts w:ascii="Calibri" w:hAnsi="Calibri" w:cs="Calibri"/>
        </w:rPr>
        <w:t>.</w:t>
      </w:r>
      <w:r w:rsidRPr="00F451F2">
        <w:rPr>
          <w:rFonts w:ascii="Calibri" w:hAnsi="Calibri" w:cs="Calibri"/>
          <w:strike/>
        </w:rPr>
        <w:t xml:space="preserve"> </w:t>
      </w:r>
      <w:bookmarkEnd w:id="0"/>
    </w:p>
    <w:p w14:paraId="6C8959B1" w14:textId="61F9EFA5" w:rsidR="00DD186B" w:rsidRPr="00F451F2" w:rsidRDefault="00DD186B" w:rsidP="00730252">
      <w:pPr>
        <w:pStyle w:val="Nagwek2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Calibri"/>
        </w:rPr>
      </w:pPr>
      <w:r w:rsidRPr="00F451F2">
        <w:rPr>
          <w:rFonts w:cs="Calibri"/>
        </w:rPr>
        <w:t>Przedsięwzięcie wnioskowane do dofinansowania w ramach Programu musi być zlokalizowane na terenie województwa kujawsko-pomorskiego lub w przypadku pojazdów - eksploatowane głównie na jego terenie.</w:t>
      </w:r>
    </w:p>
    <w:p w14:paraId="6C42C911" w14:textId="77777777" w:rsidR="00DD186B" w:rsidRPr="00F451F2" w:rsidRDefault="00DD186B">
      <w:pPr>
        <w:pStyle w:val="Nagwek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451F2">
        <w:rPr>
          <w:rFonts w:cs="Calibri"/>
        </w:rPr>
        <w:t>Zasady przyjmo</w:t>
      </w:r>
      <w:r w:rsidRPr="00F451F2">
        <w:t>wania, rozpatrywania wniosków i udzielania dofinansowania</w:t>
      </w:r>
    </w:p>
    <w:p w14:paraId="5928956C" w14:textId="77777777" w:rsidR="00DD186B" w:rsidRPr="00F451F2" w:rsidRDefault="00DD186B" w:rsidP="008366EE">
      <w:pPr>
        <w:pStyle w:val="Nagwek2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451F2">
        <w:t>Wniosek o dofinansowanie rozpatrywany jest dwuetapowo:</w:t>
      </w:r>
    </w:p>
    <w:p w14:paraId="04F94101" w14:textId="59066355" w:rsidR="00DD186B" w:rsidRPr="00F451F2" w:rsidRDefault="00DD186B" w:rsidP="008366EE">
      <w:pPr>
        <w:pStyle w:val="Nagwek3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451F2">
        <w:t xml:space="preserve">ocena </w:t>
      </w:r>
      <w:r w:rsidR="00DB2DFD" w:rsidRPr="00F451F2">
        <w:t>wstępna</w:t>
      </w:r>
      <w:r w:rsidRPr="00F451F2">
        <w:t xml:space="preserve"> przeprowadzana jest na podstawie złożonego wniosku wraz z wymaganymi załącznikami. Pozytywne rozpatrzenie wniosku skutkuje udzieleniem przez </w:t>
      </w:r>
      <w:r w:rsidRPr="00F451F2">
        <w:lastRenderedPageBreak/>
        <w:t>Zarząd promesy dofinansowania. W przypadku pożyczki, której wartość przekracza 0,5% przychodów uzyskanych przez Wojewódzki Fundusz w roku poprzednim, uchwała Zarządu podejmowana jest po wcześniejszym zatwierdzeniu przez Radę Nadzorczą wniosku Zarządu o udzielenie promesy dofinansowania,</w:t>
      </w:r>
    </w:p>
    <w:p w14:paraId="693F8500" w14:textId="77777777" w:rsidR="00DD186B" w:rsidRPr="00F451F2" w:rsidRDefault="00DD186B" w:rsidP="008366EE">
      <w:pPr>
        <w:pStyle w:val="Nagwek3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451F2">
        <w:t>ocena zasadnicza dokonywana jest na podstawie analizy dokumentacji przedsięwzięcia, której wymagany zakres określony zostanie w udzielonej promesie dofinansowania.</w:t>
      </w:r>
    </w:p>
    <w:p w14:paraId="44DE2F56" w14:textId="77777777" w:rsidR="00DD186B" w:rsidRPr="00F451F2" w:rsidRDefault="00DD186B">
      <w:pPr>
        <w:pStyle w:val="Nagwek2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451F2">
        <w:t>Termin naboru wniosków oraz szczegółowe zasady przyjmowania, weryfikacji i oceny wniosków określi Zarząd Wojewódzkiego Funduszu w Regulaminie naboru wniosków.</w:t>
      </w:r>
    </w:p>
    <w:p w14:paraId="1ACAC405" w14:textId="77777777" w:rsidR="00DD186B" w:rsidRPr="00F451F2" w:rsidRDefault="00DD186B">
      <w:pPr>
        <w:pStyle w:val="Nagwek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451F2">
        <w:t>Budżet</w:t>
      </w:r>
    </w:p>
    <w:p w14:paraId="6FCEBC1F" w14:textId="0368A913" w:rsidR="00DD186B" w:rsidRPr="00F451F2" w:rsidRDefault="00DD186B">
      <w:pPr>
        <w:pStyle w:val="Nagwek2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451F2">
        <w:t xml:space="preserve">Budżet na realizację Programu ze środków Wojewódzkiego Funduszu </w:t>
      </w:r>
      <w:r w:rsidR="0082324D" w:rsidRPr="00F451F2">
        <w:t xml:space="preserve">wynosi </w:t>
      </w:r>
      <w:r w:rsidRPr="00F451F2">
        <w:t>do 200 mln zł.</w:t>
      </w:r>
    </w:p>
    <w:p w14:paraId="6913D5F7" w14:textId="77777777" w:rsidR="00DD186B" w:rsidRPr="00F451F2" w:rsidRDefault="00DD186B">
      <w:pPr>
        <w:pStyle w:val="Nagwek2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trike/>
        </w:rPr>
      </w:pPr>
      <w:r w:rsidRPr="00F451F2">
        <w:t>Budżet Programu może zostać zwiększony.</w:t>
      </w:r>
    </w:p>
    <w:p w14:paraId="3904435E" w14:textId="77777777" w:rsidR="00DD186B" w:rsidRPr="00F451F2" w:rsidRDefault="00DD186B">
      <w:pPr>
        <w:pStyle w:val="Nagwek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451F2">
        <w:t>Okres wdrażania</w:t>
      </w:r>
    </w:p>
    <w:p w14:paraId="7399306E" w14:textId="77777777" w:rsidR="00DD186B" w:rsidRPr="00F451F2" w:rsidRDefault="00DD186B">
      <w:pPr>
        <w:pStyle w:val="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451F2">
        <w:t>Program realizowany będzie w latach 2020-2029 w tym:</w:t>
      </w:r>
    </w:p>
    <w:p w14:paraId="56E3F082" w14:textId="77777777" w:rsidR="00DD186B" w:rsidRPr="00F451F2" w:rsidRDefault="00DD186B">
      <w:pPr>
        <w:pStyle w:val="Nagwek2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451F2">
        <w:t xml:space="preserve">zobowiązania, rozumiane jako podpisywanie umów podejmowane będą do końca </w:t>
      </w:r>
      <w:r w:rsidRPr="00F451F2">
        <w:br/>
        <w:t>2027 roku,</w:t>
      </w:r>
    </w:p>
    <w:p w14:paraId="018E9182" w14:textId="77777777" w:rsidR="00DD186B" w:rsidRPr="00F451F2" w:rsidRDefault="00DD186B">
      <w:pPr>
        <w:pStyle w:val="Nagwek2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451F2">
        <w:t>środki w formie pożyczek wypłacane będą Beneficjentom do końca 2029 roku.</w:t>
      </w:r>
    </w:p>
    <w:p w14:paraId="5570D961" w14:textId="77777777" w:rsidR="00DD186B" w:rsidRPr="00F451F2" w:rsidRDefault="00DD186B">
      <w:pPr>
        <w:pStyle w:val="Nagwek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451F2">
        <w:t>Koszty kwalifikowane</w:t>
      </w:r>
    </w:p>
    <w:p w14:paraId="65503E12" w14:textId="2816CE27" w:rsidR="00DD186B" w:rsidRPr="00F451F2" w:rsidRDefault="00DD186B">
      <w:pPr>
        <w:pStyle w:val="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451F2">
        <w:t xml:space="preserve">Okres kwalifikowalności kosztów obejmuje wydatki poniesione przez Beneficjenta </w:t>
      </w:r>
      <w:r w:rsidRPr="00F451F2">
        <w:rPr>
          <w:b/>
          <w:bCs/>
        </w:rPr>
        <w:t>od 01.05.2020 roku do 30.06.2029 roku.</w:t>
      </w:r>
      <w:r w:rsidRPr="00F451F2">
        <w:t xml:space="preserve"> Wydatki poniesione przez Beneficjenta w okresie kwalifikowalności kosztów mogą być uznane do refundacji przy ustalaniu kwoty dofinansowania</w:t>
      </w:r>
      <w:r w:rsidR="00EC0FBB" w:rsidRPr="00F451F2">
        <w:t>,</w:t>
      </w:r>
      <w:r w:rsidR="002879F7" w:rsidRPr="00F451F2">
        <w:t xml:space="preserve"> jeśli zostały poniesione przez Wnioskodawcę w okresie nie dłuższym niż 1 rok przed złożeniem wniosku o dofinansowanie.</w:t>
      </w:r>
    </w:p>
    <w:p w14:paraId="526A2A0E" w14:textId="77777777" w:rsidR="00DD186B" w:rsidRPr="00F451F2" w:rsidRDefault="00DD186B">
      <w:pPr>
        <w:pStyle w:val="Nagwek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bookmarkStart w:id="2" w:name="_Hlk99025515"/>
      <w:r w:rsidRPr="00F451F2">
        <w:t>Formy i warunki udzielania dofinansowania</w:t>
      </w:r>
    </w:p>
    <w:p w14:paraId="72E860C1" w14:textId="77777777" w:rsidR="00E55E24" w:rsidRPr="00F451F2" w:rsidRDefault="00216C12" w:rsidP="00216C1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 w:line="259" w:lineRule="auto"/>
        <w:jc w:val="both"/>
        <w:rPr>
          <w:rFonts w:ascii="Calibri" w:hAnsi="Calibri" w:cs="Calibri"/>
          <w:color w:val="000000"/>
          <w:u w:color="000000"/>
          <w:lang w:eastAsia="pl-PL"/>
        </w:rPr>
      </w:pPr>
      <w:bookmarkStart w:id="3" w:name="_Hlk99022339"/>
      <w:bookmarkStart w:id="4" w:name="_Hlk99025724"/>
      <w:bookmarkEnd w:id="2"/>
      <w:r w:rsidRPr="00F451F2">
        <w:rPr>
          <w:rFonts w:ascii="Calibri" w:hAnsi="Calibri" w:cs="Calibri"/>
          <w:color w:val="000000"/>
          <w:u w:color="000000"/>
          <w:lang w:eastAsia="pl-PL"/>
        </w:rPr>
        <w:t xml:space="preserve">Dofinansowanie </w:t>
      </w:r>
      <w:r w:rsidR="00E55E24" w:rsidRPr="00F451F2">
        <w:rPr>
          <w:rFonts w:ascii="Calibri" w:hAnsi="Calibri" w:cs="Calibri"/>
          <w:color w:val="000000"/>
          <w:u w:color="000000"/>
          <w:lang w:eastAsia="pl-PL"/>
        </w:rPr>
        <w:t xml:space="preserve">w ramach Programu </w:t>
      </w:r>
      <w:r w:rsidRPr="00F451F2">
        <w:rPr>
          <w:rFonts w:ascii="Calibri" w:hAnsi="Calibri" w:cs="Calibri"/>
          <w:color w:val="000000"/>
          <w:u w:color="000000"/>
          <w:lang w:eastAsia="pl-PL"/>
        </w:rPr>
        <w:t xml:space="preserve">udzielane jest w formie oprocentowanych pożyczek, </w:t>
      </w:r>
      <w:r w:rsidR="00E55E24" w:rsidRPr="00F451F2">
        <w:rPr>
          <w:rFonts w:ascii="Calibri" w:hAnsi="Calibri" w:cs="Calibri"/>
          <w:color w:val="000000"/>
          <w:u w:color="000000"/>
          <w:lang w:eastAsia="pl-PL"/>
        </w:rPr>
        <w:t xml:space="preserve">udzielanych </w:t>
      </w:r>
      <w:r w:rsidRPr="00F451F2">
        <w:rPr>
          <w:rFonts w:ascii="Calibri" w:hAnsi="Calibri" w:cs="Calibri"/>
          <w:color w:val="000000"/>
          <w:u w:color="000000"/>
          <w:lang w:eastAsia="pl-PL"/>
        </w:rPr>
        <w:t>w</w:t>
      </w:r>
      <w:r w:rsidR="00E55E24" w:rsidRPr="00F451F2">
        <w:rPr>
          <w:rFonts w:ascii="Calibri" w:hAnsi="Calibri" w:cs="Calibri"/>
          <w:color w:val="000000"/>
          <w:u w:color="000000"/>
          <w:lang w:eastAsia="pl-PL"/>
        </w:rPr>
        <w:t> </w:t>
      </w:r>
      <w:r w:rsidRPr="00F451F2">
        <w:rPr>
          <w:rFonts w:ascii="Calibri" w:hAnsi="Calibri" w:cs="Calibri"/>
          <w:color w:val="000000"/>
          <w:u w:color="000000"/>
          <w:lang w:eastAsia="pl-PL"/>
        </w:rPr>
        <w:t xml:space="preserve">dwóch wariantach: </w:t>
      </w:r>
    </w:p>
    <w:p w14:paraId="279E7880" w14:textId="4388D1E0" w:rsidR="00216C12" w:rsidRPr="00F451F2" w:rsidRDefault="00216C12" w:rsidP="00E55E2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 w:line="259" w:lineRule="auto"/>
        <w:ind w:left="851"/>
        <w:jc w:val="both"/>
        <w:rPr>
          <w:rFonts w:ascii="Calibri" w:hAnsi="Calibri" w:cs="Calibri"/>
          <w:color w:val="000000"/>
          <w:u w:color="000000"/>
          <w:lang w:eastAsia="pl-PL"/>
        </w:rPr>
      </w:pPr>
      <w:r w:rsidRPr="00F451F2">
        <w:rPr>
          <w:rFonts w:ascii="Calibri" w:hAnsi="Calibri" w:cs="Calibri"/>
          <w:color w:val="000000"/>
          <w:u w:color="000000"/>
          <w:lang w:eastAsia="pl-PL"/>
        </w:rPr>
        <w:t>1) z częściowym umorzeniem,</w:t>
      </w:r>
    </w:p>
    <w:p w14:paraId="443AFF33" w14:textId="5AF2A3CA" w:rsidR="00216C12" w:rsidRPr="00F451F2" w:rsidRDefault="00216C12" w:rsidP="00216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 w:line="259" w:lineRule="auto"/>
        <w:ind w:left="851"/>
        <w:jc w:val="both"/>
        <w:rPr>
          <w:rFonts w:ascii="Calibri" w:hAnsi="Calibri" w:cs="Calibri"/>
          <w:color w:val="000000"/>
          <w:u w:color="000000"/>
          <w:lang w:eastAsia="pl-PL"/>
        </w:rPr>
      </w:pPr>
      <w:r w:rsidRPr="00F451F2">
        <w:rPr>
          <w:rFonts w:ascii="Calibri" w:hAnsi="Calibri" w:cs="Calibri"/>
          <w:color w:val="000000"/>
          <w:u w:color="000000"/>
          <w:lang w:eastAsia="pl-PL"/>
        </w:rPr>
        <w:t>2) bez umorzenia</w:t>
      </w:r>
      <w:r w:rsidR="00E55E24" w:rsidRPr="00F451F2">
        <w:rPr>
          <w:rFonts w:ascii="Calibri" w:hAnsi="Calibri" w:cs="Calibri"/>
          <w:color w:val="000000"/>
          <w:u w:color="000000"/>
          <w:lang w:eastAsia="pl-PL"/>
        </w:rPr>
        <w:t>,</w:t>
      </w:r>
    </w:p>
    <w:p w14:paraId="29825CAB" w14:textId="23A6057B" w:rsidR="00E55E24" w:rsidRPr="00F451F2" w:rsidRDefault="00E55E24" w:rsidP="00216C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 w:line="259" w:lineRule="auto"/>
        <w:ind w:left="851"/>
        <w:jc w:val="both"/>
        <w:rPr>
          <w:rFonts w:ascii="Calibri" w:hAnsi="Calibri" w:cs="Calibri"/>
          <w:color w:val="000000"/>
          <w:u w:color="000000"/>
          <w:lang w:eastAsia="pl-PL"/>
        </w:rPr>
      </w:pPr>
      <w:r w:rsidRPr="00F451F2">
        <w:rPr>
          <w:rFonts w:ascii="Calibri" w:hAnsi="Calibri" w:cs="Calibri"/>
          <w:color w:val="000000"/>
          <w:u w:color="000000"/>
          <w:lang w:eastAsia="pl-PL"/>
        </w:rPr>
        <w:t>wg wyboru Wnioskodawcy.</w:t>
      </w:r>
    </w:p>
    <w:p w14:paraId="265D2FFB" w14:textId="332D0F42" w:rsidR="00216C12" w:rsidRPr="00F451F2" w:rsidRDefault="00216C12" w:rsidP="00216C1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 w:line="259" w:lineRule="auto"/>
        <w:jc w:val="both"/>
        <w:rPr>
          <w:rFonts w:ascii="Calibri" w:hAnsi="Calibri" w:cs="Calibri"/>
          <w:color w:val="000000"/>
          <w:u w:color="000000"/>
          <w:lang w:eastAsia="pl-PL"/>
        </w:rPr>
      </w:pPr>
      <w:r w:rsidRPr="00F451F2">
        <w:rPr>
          <w:rFonts w:ascii="Calibri" w:hAnsi="Calibri" w:cs="Calibri"/>
        </w:rPr>
        <w:t xml:space="preserve">Oprocentowanie pożyczek jest zmienne i określane na podstawie stopy redyskonta weksli, ustalanej przez Radę Polityki Pieniężnej, ogłaszanej obwieszczeniem Prezesa NBP obowiązującej w dniu zawarcia umowy pożyczki. </w:t>
      </w:r>
    </w:p>
    <w:p w14:paraId="3B88657E" w14:textId="77777777" w:rsidR="006B07FA" w:rsidRPr="00F451F2" w:rsidRDefault="00216C12" w:rsidP="00216C1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 w:line="259" w:lineRule="auto"/>
        <w:jc w:val="both"/>
        <w:rPr>
          <w:rFonts w:ascii="Calibri" w:hAnsi="Calibri" w:cs="Arial Unicode MS"/>
          <w:color w:val="000000"/>
          <w:u w:color="000000"/>
          <w:lang w:eastAsia="pl-PL"/>
        </w:rPr>
      </w:pPr>
      <w:r w:rsidRPr="00F451F2">
        <w:rPr>
          <w:rFonts w:ascii="Calibri" w:hAnsi="Calibri" w:cs="Arial Unicode MS"/>
          <w:color w:val="000000"/>
          <w:u w:color="000000"/>
          <w:lang w:eastAsia="pl-PL"/>
        </w:rPr>
        <w:t>Oprocentowanie pożyczek wynosi</w:t>
      </w:r>
      <w:r w:rsidR="006B07FA" w:rsidRPr="00F451F2">
        <w:rPr>
          <w:rFonts w:ascii="Calibri" w:hAnsi="Calibri" w:cs="Arial Unicode MS"/>
          <w:color w:val="000000"/>
          <w:u w:color="000000"/>
          <w:lang w:eastAsia="pl-PL"/>
        </w:rPr>
        <w:t>:</w:t>
      </w:r>
    </w:p>
    <w:p w14:paraId="057AA8CA" w14:textId="07BF5781" w:rsidR="006B07FA" w:rsidRPr="00F451F2" w:rsidRDefault="00216C12" w:rsidP="00B963A0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 w:line="259" w:lineRule="auto"/>
        <w:jc w:val="both"/>
        <w:rPr>
          <w:rFonts w:ascii="Calibri" w:hAnsi="Calibri" w:cs="Arial Unicode MS"/>
          <w:color w:val="000000"/>
          <w:u w:color="000000"/>
          <w:lang w:eastAsia="pl-PL"/>
        </w:rPr>
      </w:pPr>
      <w:smartTag w:uri="urn:schemas-microsoft-com:office:smarttags" w:element="metricconverter">
        <w:smartTagPr>
          <w:attr w:name="ProductID" w:val="0,8 stopy"/>
        </w:smartTagPr>
        <w:r w:rsidRPr="00F451F2">
          <w:rPr>
            <w:rFonts w:ascii="Calibri" w:hAnsi="Calibri" w:cs="Arial Unicode MS"/>
            <w:color w:val="000000"/>
            <w:u w:color="000000"/>
            <w:lang w:eastAsia="pl-PL"/>
          </w:rPr>
          <w:t>0,8 stopy</w:t>
        </w:r>
      </w:smartTag>
      <w:r w:rsidRPr="00F451F2">
        <w:rPr>
          <w:rFonts w:ascii="Calibri" w:hAnsi="Calibri" w:cs="Arial Unicode MS"/>
          <w:color w:val="000000"/>
          <w:u w:color="000000"/>
          <w:lang w:eastAsia="pl-PL"/>
        </w:rPr>
        <w:t xml:space="preserve"> redyskonta weksli</w:t>
      </w:r>
      <w:r w:rsidR="006B07FA" w:rsidRPr="00F451F2">
        <w:rPr>
          <w:rFonts w:ascii="Calibri" w:hAnsi="Calibri" w:cs="Arial Unicode MS"/>
          <w:color w:val="000000"/>
          <w:u w:color="000000"/>
          <w:lang w:eastAsia="pl-PL"/>
        </w:rPr>
        <w:t xml:space="preserve"> w stosunku rocznym dla pożyczek </w:t>
      </w:r>
      <w:r w:rsidR="006B07FA" w:rsidRPr="00F451F2">
        <w:rPr>
          <w:rFonts w:ascii="Calibri" w:hAnsi="Calibri" w:cs="Calibri"/>
          <w:color w:val="000000"/>
          <w:u w:color="000000"/>
          <w:lang w:eastAsia="pl-PL"/>
        </w:rPr>
        <w:t>z częściowym umorzeniem</w:t>
      </w:r>
      <w:r w:rsidR="00E55E24" w:rsidRPr="00F451F2">
        <w:rPr>
          <w:rFonts w:ascii="Calibri" w:hAnsi="Calibri" w:cs="Calibri"/>
          <w:color w:val="000000"/>
          <w:u w:color="000000"/>
          <w:lang w:eastAsia="pl-PL"/>
        </w:rPr>
        <w:t>,</w:t>
      </w:r>
      <w:r w:rsidR="006B07FA" w:rsidRPr="00F451F2">
        <w:rPr>
          <w:rFonts w:ascii="Calibri" w:hAnsi="Calibri" w:cs="Calibri"/>
          <w:color w:val="000000"/>
          <w:u w:color="000000"/>
          <w:lang w:eastAsia="pl-PL"/>
        </w:rPr>
        <w:t xml:space="preserve"> </w:t>
      </w:r>
      <w:r w:rsidRPr="00F451F2">
        <w:rPr>
          <w:rFonts w:ascii="Calibri" w:hAnsi="Calibri" w:cs="Arial Unicode MS"/>
          <w:color w:val="000000"/>
          <w:u w:color="000000"/>
          <w:lang w:eastAsia="pl-PL"/>
        </w:rPr>
        <w:t>lecz nie mniej niż 2,25</w:t>
      </w:r>
      <w:r w:rsidR="007B2305" w:rsidRPr="00F451F2">
        <w:rPr>
          <w:rFonts w:ascii="Calibri" w:hAnsi="Calibri" w:cs="Arial Unicode MS"/>
          <w:color w:val="000000"/>
          <w:u w:color="000000"/>
          <w:lang w:eastAsia="pl-PL"/>
        </w:rPr>
        <w:t xml:space="preserve"> </w:t>
      </w:r>
      <w:r w:rsidRPr="00F451F2">
        <w:rPr>
          <w:rFonts w:ascii="Calibri" w:hAnsi="Calibri" w:cs="Arial Unicode MS"/>
          <w:color w:val="000000"/>
          <w:u w:color="000000"/>
          <w:lang w:eastAsia="pl-PL"/>
        </w:rPr>
        <w:t>%</w:t>
      </w:r>
      <w:r w:rsidR="006B07FA" w:rsidRPr="00F451F2">
        <w:rPr>
          <w:rFonts w:ascii="Calibri" w:hAnsi="Calibri" w:cs="Arial Unicode MS"/>
          <w:color w:val="000000"/>
          <w:u w:color="000000"/>
          <w:lang w:eastAsia="pl-PL"/>
        </w:rPr>
        <w:t>,</w:t>
      </w:r>
    </w:p>
    <w:p w14:paraId="60066B9A" w14:textId="24811996" w:rsidR="00216C12" w:rsidRPr="00F451F2" w:rsidRDefault="00216C12" w:rsidP="006B07FA">
      <w:pPr>
        <w:pStyle w:val="Akapitzlist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 w:line="259" w:lineRule="auto"/>
        <w:jc w:val="both"/>
        <w:rPr>
          <w:rFonts w:ascii="Calibri" w:hAnsi="Calibri" w:cs="Arial Unicode MS"/>
          <w:color w:val="000000"/>
          <w:u w:color="000000"/>
          <w:lang w:eastAsia="pl-PL"/>
        </w:rPr>
      </w:pPr>
      <w:smartTag w:uri="urn:schemas-microsoft-com:office:smarttags" w:element="metricconverter">
        <w:smartTagPr>
          <w:attr w:name="ProductID" w:val="0,7 stopy"/>
        </w:smartTagPr>
        <w:r w:rsidRPr="00F451F2">
          <w:rPr>
            <w:rFonts w:ascii="Calibri" w:hAnsi="Calibri" w:cs="Arial Unicode MS"/>
            <w:color w:val="000000"/>
            <w:u w:color="000000"/>
            <w:lang w:eastAsia="pl-PL"/>
          </w:rPr>
          <w:t>0,7 stopy</w:t>
        </w:r>
      </w:smartTag>
      <w:r w:rsidRPr="00F451F2">
        <w:rPr>
          <w:rFonts w:ascii="Calibri" w:hAnsi="Calibri" w:cs="Arial Unicode MS"/>
          <w:color w:val="000000"/>
          <w:u w:color="000000"/>
          <w:lang w:eastAsia="pl-PL"/>
        </w:rPr>
        <w:t xml:space="preserve"> redyskonta weksli</w:t>
      </w:r>
      <w:r w:rsidR="006B07FA" w:rsidRPr="00F451F2">
        <w:rPr>
          <w:rFonts w:ascii="Calibri" w:hAnsi="Calibri" w:cs="Arial Unicode MS"/>
          <w:color w:val="000000"/>
          <w:u w:color="000000"/>
          <w:lang w:eastAsia="pl-PL"/>
        </w:rPr>
        <w:t xml:space="preserve"> w stosunku rocznym dla pożyczek</w:t>
      </w:r>
      <w:r w:rsidR="00E55E24" w:rsidRPr="00F451F2">
        <w:rPr>
          <w:rFonts w:ascii="Calibri" w:hAnsi="Calibri" w:cs="Arial Unicode MS"/>
          <w:color w:val="000000"/>
          <w:u w:color="000000"/>
          <w:lang w:eastAsia="pl-PL"/>
        </w:rPr>
        <w:t xml:space="preserve"> bez umorzenia</w:t>
      </w:r>
      <w:r w:rsidRPr="00F451F2">
        <w:rPr>
          <w:rFonts w:ascii="Calibri" w:hAnsi="Calibri" w:cs="Arial Unicode MS"/>
          <w:color w:val="000000"/>
          <w:u w:color="000000"/>
          <w:lang w:eastAsia="pl-PL"/>
        </w:rPr>
        <w:t>, lecz nie mniej niż 2,00</w:t>
      </w:r>
      <w:r w:rsidR="007B2305" w:rsidRPr="00F451F2">
        <w:rPr>
          <w:rFonts w:ascii="Calibri" w:hAnsi="Calibri" w:cs="Arial Unicode MS"/>
          <w:color w:val="000000"/>
          <w:u w:color="000000"/>
          <w:lang w:eastAsia="pl-PL"/>
        </w:rPr>
        <w:t xml:space="preserve"> </w:t>
      </w:r>
      <w:r w:rsidRPr="00F451F2">
        <w:rPr>
          <w:rFonts w:ascii="Calibri" w:hAnsi="Calibri" w:cs="Arial Unicode MS"/>
          <w:color w:val="000000"/>
          <w:u w:color="000000"/>
          <w:lang w:eastAsia="pl-PL"/>
        </w:rPr>
        <w:t>%</w:t>
      </w:r>
      <w:r w:rsidR="006B07FA" w:rsidRPr="00F451F2">
        <w:rPr>
          <w:rFonts w:ascii="Calibri" w:hAnsi="Calibri" w:cs="Arial Unicode MS"/>
          <w:color w:val="000000"/>
          <w:u w:color="000000"/>
          <w:lang w:eastAsia="pl-PL"/>
        </w:rPr>
        <w:t>.</w:t>
      </w:r>
      <w:r w:rsidRPr="00F451F2">
        <w:rPr>
          <w:rFonts w:ascii="Calibri" w:hAnsi="Calibri" w:cs="Arial Unicode MS"/>
          <w:color w:val="000000"/>
          <w:u w:color="000000"/>
          <w:lang w:eastAsia="pl-PL"/>
        </w:rPr>
        <w:t xml:space="preserve"> </w:t>
      </w:r>
    </w:p>
    <w:p w14:paraId="715ACE5B" w14:textId="05C84840" w:rsidR="00216C12" w:rsidRPr="00F451F2" w:rsidRDefault="00216C12" w:rsidP="006B07FA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 w:line="259" w:lineRule="auto"/>
        <w:jc w:val="both"/>
        <w:rPr>
          <w:rFonts w:asciiTheme="minorHAnsi" w:hAnsiTheme="minorHAnsi" w:cstheme="minorHAnsi"/>
          <w:color w:val="000000"/>
          <w:u w:color="000000"/>
          <w:lang w:eastAsia="pl-PL"/>
        </w:rPr>
      </w:pPr>
      <w:r w:rsidRPr="00F451F2">
        <w:rPr>
          <w:rFonts w:asciiTheme="minorHAnsi" w:hAnsiTheme="minorHAnsi" w:cstheme="minorHAnsi"/>
          <w:color w:val="000000"/>
          <w:u w:color="000000"/>
          <w:lang w:eastAsia="pl-PL"/>
        </w:rPr>
        <w:lastRenderedPageBreak/>
        <w:t>W przypadku przedsięwzięć podlegających przepisom pomocy publicznej</w:t>
      </w:r>
      <w:r w:rsidR="00EC0FBB" w:rsidRPr="00F451F2">
        <w:rPr>
          <w:rFonts w:asciiTheme="minorHAnsi" w:hAnsiTheme="minorHAnsi" w:cstheme="minorHAnsi"/>
          <w:color w:val="000000"/>
          <w:u w:color="000000"/>
          <w:lang w:eastAsia="pl-PL"/>
        </w:rPr>
        <w:t>,</w:t>
      </w:r>
      <w:r w:rsidRPr="00F451F2">
        <w:rPr>
          <w:rFonts w:asciiTheme="minorHAnsi" w:hAnsiTheme="minorHAnsi" w:cstheme="minorHAnsi"/>
          <w:color w:val="000000"/>
          <w:u w:color="000000"/>
          <w:lang w:eastAsia="pl-PL"/>
        </w:rPr>
        <w:t xml:space="preserve"> Wojewódzki</w:t>
      </w:r>
      <w:r w:rsidR="006B07FA" w:rsidRPr="00F451F2">
        <w:rPr>
          <w:rFonts w:asciiTheme="minorHAnsi" w:hAnsiTheme="minorHAnsi" w:cstheme="minorHAnsi"/>
          <w:color w:val="000000"/>
          <w:u w:color="000000"/>
          <w:lang w:eastAsia="pl-PL"/>
        </w:rPr>
        <w:t xml:space="preserve"> </w:t>
      </w:r>
      <w:r w:rsidRPr="00F451F2">
        <w:rPr>
          <w:rFonts w:asciiTheme="minorHAnsi" w:hAnsiTheme="minorHAnsi" w:cstheme="minorHAnsi"/>
          <w:color w:val="000000"/>
          <w:u w:color="000000"/>
          <w:lang w:eastAsia="pl-PL"/>
        </w:rPr>
        <w:t xml:space="preserve">Fundusz może ustalić </w:t>
      </w:r>
      <w:r w:rsidR="008D4233" w:rsidRPr="00F451F2">
        <w:rPr>
          <w:rFonts w:asciiTheme="minorHAnsi" w:hAnsiTheme="minorHAnsi" w:cstheme="minorHAnsi"/>
          <w:color w:val="000000"/>
          <w:u w:color="000000"/>
          <w:lang w:eastAsia="pl-PL"/>
        </w:rPr>
        <w:t xml:space="preserve">na wniosek Wnioskodawcy </w:t>
      </w:r>
      <w:r w:rsidR="008E3454" w:rsidRPr="00F451F2">
        <w:rPr>
          <w:rFonts w:asciiTheme="minorHAnsi" w:hAnsiTheme="minorHAnsi" w:cstheme="minorHAnsi"/>
          <w:color w:val="000000"/>
          <w:u w:color="000000"/>
          <w:lang w:eastAsia="pl-PL"/>
        </w:rPr>
        <w:t xml:space="preserve">wyższe </w:t>
      </w:r>
      <w:r w:rsidRPr="00F451F2">
        <w:rPr>
          <w:rFonts w:asciiTheme="minorHAnsi" w:hAnsiTheme="minorHAnsi" w:cstheme="minorHAnsi"/>
          <w:color w:val="000000"/>
          <w:u w:color="000000"/>
          <w:lang w:eastAsia="pl-PL"/>
        </w:rPr>
        <w:t xml:space="preserve">oprocentowanie (tzw. </w:t>
      </w:r>
      <w:r w:rsidR="00EC0FBB" w:rsidRPr="00F451F2">
        <w:rPr>
          <w:rFonts w:asciiTheme="minorHAnsi" w:hAnsiTheme="minorHAnsi" w:cstheme="minorHAnsi"/>
          <w:color w:val="000000"/>
          <w:u w:color="000000"/>
          <w:lang w:eastAsia="pl-PL"/>
        </w:rPr>
        <w:t>r</w:t>
      </w:r>
      <w:r w:rsidRPr="00F451F2">
        <w:rPr>
          <w:rFonts w:asciiTheme="minorHAnsi" w:hAnsiTheme="minorHAnsi" w:cstheme="minorHAnsi"/>
          <w:color w:val="000000"/>
          <w:u w:color="000000"/>
          <w:lang w:eastAsia="pl-PL"/>
        </w:rPr>
        <w:t>ynkowe)</w:t>
      </w:r>
      <w:r w:rsidR="00EC0FBB" w:rsidRPr="00F451F2">
        <w:rPr>
          <w:rFonts w:asciiTheme="minorHAnsi" w:hAnsiTheme="minorHAnsi" w:cstheme="minorHAnsi"/>
          <w:color w:val="000000"/>
          <w:u w:color="000000"/>
          <w:lang w:eastAsia="pl-PL"/>
        </w:rPr>
        <w:t>,</w:t>
      </w:r>
      <w:r w:rsidRPr="00F451F2">
        <w:rPr>
          <w:rFonts w:asciiTheme="minorHAnsi" w:hAnsiTheme="minorHAnsi" w:cstheme="minorHAnsi"/>
          <w:color w:val="000000"/>
          <w:u w:color="000000"/>
          <w:lang w:eastAsia="pl-PL"/>
        </w:rPr>
        <w:t xml:space="preserve"> nie niższe niż stopa bazowa</w:t>
      </w:r>
      <w:r w:rsidRPr="00F451F2">
        <w:rPr>
          <w:rStyle w:val="Odwoanieprzypisudolnego"/>
          <w:rFonts w:asciiTheme="minorHAnsi" w:hAnsiTheme="minorHAnsi" w:cstheme="minorHAnsi"/>
          <w:color w:val="000000"/>
          <w:u w:color="000000"/>
          <w:lang w:eastAsia="pl-PL"/>
        </w:rPr>
        <w:footnoteReference w:id="1"/>
      </w:r>
      <w:r w:rsidRPr="00F451F2">
        <w:rPr>
          <w:rFonts w:asciiTheme="minorHAnsi" w:hAnsiTheme="minorHAnsi" w:cstheme="minorHAnsi"/>
          <w:color w:val="000000"/>
          <w:u w:color="000000"/>
          <w:lang w:eastAsia="pl-PL"/>
        </w:rPr>
        <w:t xml:space="preserve"> obowiązująca w dniu zawarcia umowy</w:t>
      </w:r>
      <w:r w:rsidR="00EC0FBB" w:rsidRPr="00F451F2">
        <w:rPr>
          <w:rFonts w:asciiTheme="minorHAnsi" w:hAnsiTheme="minorHAnsi" w:cstheme="minorHAnsi"/>
          <w:color w:val="000000"/>
          <w:u w:color="000000"/>
          <w:lang w:eastAsia="pl-PL"/>
        </w:rPr>
        <w:t>,</w:t>
      </w:r>
      <w:r w:rsidRPr="00F451F2">
        <w:rPr>
          <w:rFonts w:asciiTheme="minorHAnsi" w:hAnsiTheme="minorHAnsi" w:cstheme="minorHAnsi"/>
          <w:color w:val="000000"/>
          <w:u w:color="000000"/>
          <w:lang w:eastAsia="pl-PL"/>
        </w:rPr>
        <w:t xml:space="preserve"> powiększon</w:t>
      </w:r>
      <w:r w:rsidR="008D4233" w:rsidRPr="00F451F2">
        <w:rPr>
          <w:rFonts w:asciiTheme="minorHAnsi" w:hAnsiTheme="minorHAnsi" w:cstheme="minorHAnsi"/>
          <w:color w:val="000000"/>
          <w:u w:color="000000"/>
          <w:lang w:eastAsia="pl-PL"/>
        </w:rPr>
        <w:t>e</w:t>
      </w:r>
      <w:r w:rsidRPr="00F451F2">
        <w:rPr>
          <w:rFonts w:asciiTheme="minorHAnsi" w:hAnsiTheme="minorHAnsi" w:cstheme="minorHAnsi"/>
          <w:color w:val="000000"/>
          <w:u w:color="000000"/>
          <w:lang w:eastAsia="pl-PL"/>
        </w:rPr>
        <w:t xml:space="preserve"> o marżę. </w:t>
      </w:r>
    </w:p>
    <w:p w14:paraId="43AB69FA" w14:textId="76CDEEDC" w:rsidR="00216C12" w:rsidRPr="00F451F2" w:rsidRDefault="00216C12" w:rsidP="006B07FA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 w:line="259" w:lineRule="auto"/>
        <w:jc w:val="both"/>
        <w:rPr>
          <w:rFonts w:asciiTheme="minorHAnsi" w:hAnsiTheme="minorHAnsi" w:cstheme="minorHAnsi"/>
          <w:color w:val="000000"/>
          <w:u w:color="000000"/>
          <w:lang w:eastAsia="pl-PL"/>
        </w:rPr>
      </w:pPr>
      <w:r w:rsidRPr="00F451F2">
        <w:rPr>
          <w:rFonts w:asciiTheme="minorHAnsi" w:hAnsiTheme="minorHAnsi" w:cstheme="minorHAnsi"/>
          <w:color w:val="000000"/>
          <w:u w:color="000000"/>
          <w:lang w:eastAsia="pl-PL"/>
        </w:rPr>
        <w:t xml:space="preserve">Oprocentowanie </w:t>
      </w:r>
      <w:r w:rsidR="00E55E9A" w:rsidRPr="00F451F2">
        <w:rPr>
          <w:rFonts w:asciiTheme="minorHAnsi" w:hAnsiTheme="minorHAnsi" w:cstheme="minorHAnsi"/>
          <w:color w:val="000000"/>
          <w:u w:color="000000"/>
          <w:lang w:eastAsia="pl-PL"/>
        </w:rPr>
        <w:t xml:space="preserve">pożyczek jest </w:t>
      </w:r>
      <w:r w:rsidRPr="00F451F2">
        <w:rPr>
          <w:rFonts w:asciiTheme="minorHAnsi" w:hAnsiTheme="minorHAnsi" w:cstheme="minorHAnsi"/>
          <w:color w:val="000000"/>
          <w:u w:color="000000"/>
          <w:lang w:eastAsia="pl-PL"/>
        </w:rPr>
        <w:t>aktualizowane w okresach kwartalnych, na podstawie wysokości stopy redyskonta weksli z ostatniego dnia roboczego poprzedniego kwartału.</w:t>
      </w:r>
    </w:p>
    <w:bookmarkEnd w:id="3"/>
    <w:p w14:paraId="560E4C45" w14:textId="1ABF8CD0" w:rsidR="00DD186B" w:rsidRPr="00F451F2" w:rsidRDefault="00DD186B" w:rsidP="008D4233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 w:line="259" w:lineRule="auto"/>
        <w:jc w:val="both"/>
        <w:rPr>
          <w:rFonts w:asciiTheme="minorHAnsi" w:hAnsiTheme="minorHAnsi" w:cstheme="minorHAnsi"/>
          <w:color w:val="000000"/>
          <w:u w:color="000000"/>
          <w:lang w:eastAsia="pl-PL"/>
        </w:rPr>
      </w:pPr>
      <w:r w:rsidRPr="00F451F2">
        <w:rPr>
          <w:rFonts w:asciiTheme="minorHAnsi" w:hAnsiTheme="minorHAnsi" w:cstheme="minorHAnsi"/>
        </w:rPr>
        <w:t xml:space="preserve">Minimalna kwota pożyczki wynosi 80 000 zł. </w:t>
      </w:r>
    </w:p>
    <w:p w14:paraId="0C16310C" w14:textId="77777777" w:rsidR="008D4233" w:rsidRPr="00F451F2" w:rsidRDefault="008D4233" w:rsidP="008D4233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 w:line="259" w:lineRule="auto"/>
        <w:jc w:val="both"/>
        <w:rPr>
          <w:rFonts w:asciiTheme="minorHAnsi" w:hAnsiTheme="minorHAnsi" w:cstheme="minorHAnsi"/>
        </w:rPr>
      </w:pPr>
      <w:r w:rsidRPr="00F451F2">
        <w:rPr>
          <w:rFonts w:asciiTheme="minorHAnsi" w:hAnsiTheme="minorHAnsi" w:cstheme="minorHAnsi"/>
        </w:rPr>
        <w:t xml:space="preserve">Minimalny okres spłaty pożyczki uzależniony jest od wariantu pożyczki i wynosi: </w:t>
      </w:r>
    </w:p>
    <w:p w14:paraId="4A6461BD" w14:textId="77777777" w:rsidR="008D4233" w:rsidRPr="00F451F2" w:rsidRDefault="008D4233" w:rsidP="008D4233">
      <w:pPr>
        <w:pStyle w:val="Nagwek2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F451F2">
        <w:rPr>
          <w:rFonts w:asciiTheme="minorHAnsi" w:hAnsiTheme="minorHAnsi" w:cstheme="minorHAnsi"/>
        </w:rPr>
        <w:t>5 lat dla pożyczki z częściowym umorzeniem,</w:t>
      </w:r>
    </w:p>
    <w:p w14:paraId="08067B56" w14:textId="77777777" w:rsidR="008D4233" w:rsidRPr="00F451F2" w:rsidRDefault="008D4233" w:rsidP="008D4233">
      <w:pPr>
        <w:pStyle w:val="Nagwek2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F451F2">
        <w:rPr>
          <w:rFonts w:asciiTheme="minorHAnsi" w:hAnsiTheme="minorHAnsi" w:cstheme="minorHAnsi"/>
        </w:rPr>
        <w:t>2 lata dla pożyczki bez umorzenia.</w:t>
      </w:r>
    </w:p>
    <w:p w14:paraId="12E7502A" w14:textId="1ED2ED18" w:rsidR="00E55E9A" w:rsidRPr="00F451F2" w:rsidRDefault="00E55E9A" w:rsidP="003A7E7E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 w:line="259" w:lineRule="auto"/>
        <w:jc w:val="both"/>
        <w:rPr>
          <w:rFonts w:asciiTheme="minorHAnsi" w:hAnsiTheme="minorHAnsi" w:cstheme="minorHAnsi"/>
        </w:rPr>
      </w:pPr>
      <w:r w:rsidRPr="00F451F2">
        <w:rPr>
          <w:rFonts w:asciiTheme="minorHAnsi" w:hAnsiTheme="minorHAnsi" w:cstheme="minorHAnsi"/>
        </w:rPr>
        <w:t xml:space="preserve">Maksymalny okres spłaty pożyczki uzależniony jest od specyfiki przedsięwzięcia, oceny ryzyka niespłacenia pożyczki oraz form jej zabezpieczenia i wynosi do 15 lat. Okres ten jest liczony od określonej w umowie daty wypłaty </w:t>
      </w:r>
      <w:r w:rsidR="003A7E7E" w:rsidRPr="00F451F2">
        <w:rPr>
          <w:rFonts w:asciiTheme="minorHAnsi" w:hAnsiTheme="minorHAnsi" w:cstheme="minorHAnsi"/>
        </w:rPr>
        <w:t xml:space="preserve">pierwszej </w:t>
      </w:r>
      <w:r w:rsidRPr="00F451F2">
        <w:rPr>
          <w:rFonts w:asciiTheme="minorHAnsi" w:hAnsiTheme="minorHAnsi" w:cstheme="minorHAnsi"/>
        </w:rPr>
        <w:t xml:space="preserve">transzy pożyczki do dnia określonej w umowie spłaty ostatniej raty. </w:t>
      </w:r>
    </w:p>
    <w:p w14:paraId="35FDBE5F" w14:textId="06FEB6AC" w:rsidR="00DD186B" w:rsidRPr="00F451F2" w:rsidRDefault="00DD186B" w:rsidP="000250B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 w:line="259" w:lineRule="auto"/>
        <w:jc w:val="both"/>
        <w:rPr>
          <w:rFonts w:asciiTheme="minorHAnsi" w:hAnsiTheme="minorHAnsi" w:cstheme="minorHAnsi"/>
        </w:rPr>
      </w:pPr>
      <w:r w:rsidRPr="00F451F2">
        <w:rPr>
          <w:rFonts w:asciiTheme="minorHAnsi" w:hAnsiTheme="minorHAnsi" w:cstheme="minorHAnsi"/>
        </w:rPr>
        <w:t xml:space="preserve">Łączny okres karencji </w:t>
      </w:r>
      <w:r w:rsidR="00C715AE" w:rsidRPr="00F451F2">
        <w:rPr>
          <w:rFonts w:asciiTheme="minorHAnsi" w:hAnsiTheme="minorHAnsi" w:cstheme="minorHAnsi"/>
        </w:rPr>
        <w:t xml:space="preserve">w spłacie pożyczki </w:t>
      </w:r>
      <w:r w:rsidRPr="00F451F2">
        <w:rPr>
          <w:rFonts w:asciiTheme="minorHAnsi" w:hAnsiTheme="minorHAnsi" w:cstheme="minorHAnsi"/>
        </w:rPr>
        <w:t>nie może być dłuższy niż 36 miesięcy.</w:t>
      </w:r>
    </w:p>
    <w:p w14:paraId="627D01AD" w14:textId="02C68DCD" w:rsidR="00DD186B" w:rsidRPr="00F451F2" w:rsidRDefault="00DD186B" w:rsidP="000250B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 w:line="259" w:lineRule="auto"/>
        <w:jc w:val="both"/>
        <w:rPr>
          <w:rFonts w:asciiTheme="minorHAnsi" w:hAnsiTheme="minorHAnsi" w:cstheme="minorHAnsi"/>
        </w:rPr>
      </w:pPr>
      <w:r w:rsidRPr="00F451F2">
        <w:rPr>
          <w:rFonts w:asciiTheme="minorHAnsi" w:hAnsiTheme="minorHAnsi" w:cstheme="minorHAnsi"/>
        </w:rPr>
        <w:t>Udzielenie dofinansowania</w:t>
      </w:r>
      <w:r w:rsidR="0096066B" w:rsidRPr="00F451F2">
        <w:rPr>
          <w:rFonts w:asciiTheme="minorHAnsi" w:hAnsiTheme="minorHAnsi" w:cstheme="minorHAnsi"/>
        </w:rPr>
        <w:t xml:space="preserve"> i umorzenia </w:t>
      </w:r>
      <w:r w:rsidRPr="00F451F2">
        <w:rPr>
          <w:rFonts w:asciiTheme="minorHAnsi" w:hAnsiTheme="minorHAnsi" w:cstheme="minorHAnsi"/>
        </w:rPr>
        <w:t>następuje z uwzględnieniem przepisów regulujących dopuszczalną pomoc publiczną.</w:t>
      </w:r>
    </w:p>
    <w:p w14:paraId="60450ACE" w14:textId="6BAD1BF5" w:rsidR="00B7243F" w:rsidRPr="00F451F2" w:rsidRDefault="00B7243F" w:rsidP="000250B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 w:line="259" w:lineRule="auto"/>
        <w:jc w:val="both"/>
        <w:rPr>
          <w:rFonts w:asciiTheme="minorHAnsi" w:hAnsiTheme="minorHAnsi" w:cstheme="minorHAnsi"/>
        </w:rPr>
      </w:pPr>
      <w:r w:rsidRPr="00F451F2">
        <w:rPr>
          <w:rFonts w:asciiTheme="minorHAnsi" w:hAnsiTheme="minorHAnsi" w:cstheme="minorHAnsi"/>
        </w:rPr>
        <w:t>Udzielenie umorzenia w ramach Programu następuje bez względu na inne źródła finansowania przedsięwzięcia, w tym także bezzwrotne, z wyłączeniem przedsięwzięć współfinansowanych z udziałem dotacji lub pożyczek ze środków Narodowego Funduszu Ochrony Środowiska i</w:t>
      </w:r>
      <w:r w:rsidR="0077678D" w:rsidRPr="00F451F2">
        <w:rPr>
          <w:rFonts w:asciiTheme="minorHAnsi" w:hAnsiTheme="minorHAnsi" w:cstheme="minorHAnsi"/>
        </w:rPr>
        <w:t xml:space="preserve"> </w:t>
      </w:r>
      <w:r w:rsidRPr="00F451F2">
        <w:rPr>
          <w:rFonts w:asciiTheme="minorHAnsi" w:hAnsiTheme="minorHAnsi" w:cstheme="minorHAnsi"/>
        </w:rPr>
        <w:t xml:space="preserve">Gospodarki Wodnej oraz innych środków publicznych, także zagranicznych, których zasady wyłączają możliwość bezzwrotnego dofinansowania w części wymaganego od </w:t>
      </w:r>
      <w:r w:rsidR="008E3454" w:rsidRPr="00F451F2">
        <w:rPr>
          <w:rFonts w:asciiTheme="minorHAnsi" w:hAnsiTheme="minorHAnsi" w:cstheme="minorHAnsi"/>
        </w:rPr>
        <w:t>B</w:t>
      </w:r>
      <w:r w:rsidRPr="00F451F2">
        <w:rPr>
          <w:rFonts w:asciiTheme="minorHAnsi" w:hAnsiTheme="minorHAnsi" w:cstheme="minorHAnsi"/>
        </w:rPr>
        <w:t>eneficjenta udziału własnego.</w:t>
      </w:r>
    </w:p>
    <w:p w14:paraId="7E07F435" w14:textId="23D04EC2" w:rsidR="00722924" w:rsidRPr="00F451F2" w:rsidRDefault="00722924" w:rsidP="000250B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 w:line="259" w:lineRule="auto"/>
        <w:jc w:val="both"/>
        <w:rPr>
          <w:rFonts w:asciiTheme="minorHAnsi" w:hAnsiTheme="minorHAnsi" w:cstheme="minorHAnsi"/>
        </w:rPr>
      </w:pPr>
      <w:r w:rsidRPr="00F451F2">
        <w:rPr>
          <w:rFonts w:asciiTheme="minorHAnsi" w:hAnsiTheme="minorHAnsi" w:cstheme="minorHAnsi"/>
        </w:rPr>
        <w:t xml:space="preserve">W przypadku pożyczki z umorzeniem, pożyczka jest częściowo umarzana na wniosek Pożyczkobiorcy, jeśli łącznie zostaną spełnione warunki określone w </w:t>
      </w:r>
      <w:r w:rsidRPr="00F451F2">
        <w:rPr>
          <w:rFonts w:asciiTheme="minorHAnsi" w:hAnsiTheme="minorHAnsi" w:cstheme="minorHAnsi"/>
          <w:sz w:val="23"/>
          <w:szCs w:val="23"/>
        </w:rPr>
        <w:t xml:space="preserve">§ 14 ust. 5 </w:t>
      </w:r>
      <w:r w:rsidRPr="00F451F2">
        <w:rPr>
          <w:rFonts w:asciiTheme="minorHAnsi" w:hAnsiTheme="minorHAnsi" w:cstheme="minorHAnsi"/>
        </w:rPr>
        <w:t>Zasad.  Maksymalna wartość umorzenia nie może przekraczać 15</w:t>
      </w:r>
      <w:r w:rsidR="0077678D" w:rsidRPr="00F451F2">
        <w:rPr>
          <w:rFonts w:asciiTheme="minorHAnsi" w:hAnsiTheme="minorHAnsi" w:cstheme="minorHAnsi"/>
        </w:rPr>
        <w:t xml:space="preserve"> </w:t>
      </w:r>
      <w:r w:rsidRPr="00F451F2">
        <w:rPr>
          <w:rFonts w:asciiTheme="minorHAnsi" w:hAnsiTheme="minorHAnsi" w:cstheme="minorHAnsi"/>
        </w:rPr>
        <w:t xml:space="preserve">% wypłaconej kwoty pożyczki i nie może być wyższa niż 500 000,00 zł. Poziom umorzenia uzależniony jest od okresu spłaty pożyczki i narasta </w:t>
      </w:r>
      <w:r w:rsidR="003B3AA5" w:rsidRPr="00F451F2">
        <w:rPr>
          <w:rFonts w:asciiTheme="minorHAnsi" w:hAnsiTheme="minorHAnsi" w:cstheme="minorHAnsi"/>
        </w:rPr>
        <w:t xml:space="preserve">po upływie </w:t>
      </w:r>
      <w:r w:rsidRPr="00F451F2">
        <w:rPr>
          <w:rFonts w:asciiTheme="minorHAnsi" w:hAnsiTheme="minorHAnsi" w:cstheme="minorHAnsi"/>
        </w:rPr>
        <w:t>każd</w:t>
      </w:r>
      <w:r w:rsidR="003B3AA5" w:rsidRPr="00F451F2">
        <w:rPr>
          <w:rFonts w:asciiTheme="minorHAnsi" w:hAnsiTheme="minorHAnsi" w:cstheme="minorHAnsi"/>
        </w:rPr>
        <w:t xml:space="preserve">ego roku od dnia jej zawarcia </w:t>
      </w:r>
      <w:r w:rsidRPr="00F451F2">
        <w:rPr>
          <w:rFonts w:asciiTheme="minorHAnsi" w:hAnsiTheme="minorHAnsi" w:cstheme="minorHAnsi"/>
        </w:rPr>
        <w:t>o jeden punkt procentowy</w:t>
      </w:r>
      <w:r w:rsidR="000250B2" w:rsidRPr="00F451F2">
        <w:rPr>
          <w:rFonts w:asciiTheme="minorHAnsi" w:hAnsiTheme="minorHAnsi" w:cstheme="minorHAnsi"/>
        </w:rPr>
        <w:t>,</w:t>
      </w:r>
      <w:r w:rsidR="003B3AA5" w:rsidRPr="00F451F2">
        <w:rPr>
          <w:rFonts w:asciiTheme="minorHAnsi" w:hAnsiTheme="minorHAnsi" w:cstheme="minorHAnsi"/>
        </w:rPr>
        <w:t xml:space="preserve"> począwszy od piątego roku</w:t>
      </w:r>
      <w:r w:rsidRPr="00F451F2">
        <w:rPr>
          <w:rFonts w:asciiTheme="minorHAnsi" w:hAnsiTheme="minorHAnsi" w:cstheme="minorHAnsi"/>
        </w:rPr>
        <w:t>, wg schematu: 5 lat (60 miesięcy) – 5 %, 6 lat (72 miesiące) – 6</w:t>
      </w:r>
      <w:r w:rsidR="0077678D" w:rsidRPr="00F451F2">
        <w:rPr>
          <w:rFonts w:asciiTheme="minorHAnsi" w:hAnsiTheme="minorHAnsi" w:cstheme="minorHAnsi"/>
        </w:rPr>
        <w:t xml:space="preserve"> </w:t>
      </w:r>
      <w:r w:rsidRPr="00F451F2">
        <w:rPr>
          <w:rFonts w:asciiTheme="minorHAnsi" w:hAnsiTheme="minorHAnsi" w:cstheme="minorHAnsi"/>
        </w:rPr>
        <w:t>% itd. aż do 15 lat (180 miesięcy) – 15</w:t>
      </w:r>
      <w:r w:rsidR="0077678D" w:rsidRPr="00F451F2">
        <w:rPr>
          <w:rFonts w:asciiTheme="minorHAnsi" w:hAnsiTheme="minorHAnsi" w:cstheme="minorHAnsi"/>
        </w:rPr>
        <w:t xml:space="preserve"> </w:t>
      </w:r>
      <w:r w:rsidRPr="00F451F2">
        <w:rPr>
          <w:rFonts w:asciiTheme="minorHAnsi" w:hAnsiTheme="minorHAnsi" w:cstheme="minorHAnsi"/>
        </w:rPr>
        <w:t>%.</w:t>
      </w:r>
    </w:p>
    <w:p w14:paraId="2970F28E" w14:textId="0D5F992B" w:rsidR="00DD186B" w:rsidRPr="00C33BAE" w:rsidRDefault="00DD186B" w:rsidP="000250B2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 w:line="259" w:lineRule="auto"/>
        <w:jc w:val="both"/>
        <w:rPr>
          <w:rFonts w:asciiTheme="minorHAnsi" w:hAnsiTheme="minorHAnsi" w:cstheme="minorHAnsi"/>
        </w:rPr>
      </w:pPr>
      <w:r w:rsidRPr="00C33BAE">
        <w:rPr>
          <w:rFonts w:asciiTheme="minorHAnsi" w:hAnsiTheme="minorHAnsi" w:cstheme="minorHAnsi"/>
        </w:rPr>
        <w:t>Minimalny okres zachowania trwałości przedsięwzięcia uzależniony jest od specyfiki przedsięwzięcia i nie powinien być krótszy niż 5 lat od daty jego zakończenia.</w:t>
      </w:r>
    </w:p>
    <w:p w14:paraId="7E0C12A3" w14:textId="626536A8" w:rsidR="001203D8" w:rsidRPr="00C33BAE" w:rsidRDefault="001203D8" w:rsidP="00994216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 w:line="259" w:lineRule="auto"/>
        <w:jc w:val="both"/>
        <w:rPr>
          <w:rFonts w:asciiTheme="minorHAnsi" w:hAnsiTheme="minorHAnsi" w:cstheme="minorHAnsi"/>
        </w:rPr>
      </w:pPr>
      <w:r w:rsidRPr="00C33BAE">
        <w:rPr>
          <w:rFonts w:asciiTheme="minorHAnsi" w:hAnsiTheme="minorHAnsi" w:cstheme="minorHAnsi"/>
        </w:rPr>
        <w:t xml:space="preserve">W przypadku, gdy wartość wnioskowanej pożyczki przekracza </w:t>
      </w:r>
      <w:r w:rsidR="002879F7" w:rsidRPr="00C33BAE">
        <w:rPr>
          <w:rFonts w:asciiTheme="minorHAnsi" w:hAnsiTheme="minorHAnsi" w:cstheme="minorHAnsi"/>
        </w:rPr>
        <w:t>5</w:t>
      </w:r>
      <w:r w:rsidRPr="00C33BAE">
        <w:rPr>
          <w:rFonts w:asciiTheme="minorHAnsi" w:hAnsiTheme="minorHAnsi" w:cstheme="minorHAnsi"/>
        </w:rPr>
        <w:t xml:space="preserve"> milion</w:t>
      </w:r>
      <w:r w:rsidR="002879F7" w:rsidRPr="00C33BAE">
        <w:rPr>
          <w:rFonts w:asciiTheme="minorHAnsi" w:hAnsiTheme="minorHAnsi" w:cstheme="minorHAnsi"/>
        </w:rPr>
        <w:t>ów</w:t>
      </w:r>
      <w:r w:rsidRPr="00C33BAE">
        <w:rPr>
          <w:rFonts w:asciiTheme="minorHAnsi" w:hAnsiTheme="minorHAnsi" w:cstheme="minorHAnsi"/>
        </w:rPr>
        <w:t xml:space="preserve"> złotych, oprocentowanie pożyczki oraz warunki częściowego </w:t>
      </w:r>
      <w:r w:rsidR="00712A44" w:rsidRPr="00C33BAE">
        <w:rPr>
          <w:rFonts w:asciiTheme="minorHAnsi" w:hAnsiTheme="minorHAnsi" w:cstheme="minorHAnsi"/>
        </w:rPr>
        <w:t xml:space="preserve">jej </w:t>
      </w:r>
      <w:r w:rsidRPr="00C33BAE">
        <w:rPr>
          <w:rFonts w:asciiTheme="minorHAnsi" w:hAnsiTheme="minorHAnsi" w:cstheme="minorHAnsi"/>
        </w:rPr>
        <w:t>umorzenia</w:t>
      </w:r>
      <w:r w:rsidR="002879F7" w:rsidRPr="00C33BAE">
        <w:rPr>
          <w:rFonts w:asciiTheme="minorHAnsi" w:hAnsiTheme="minorHAnsi" w:cstheme="minorHAnsi"/>
        </w:rPr>
        <w:t xml:space="preserve">, z wyjątkiem maksymalnej kwoty umorzenia, mogą zostać </w:t>
      </w:r>
      <w:r w:rsidRPr="00C33BAE">
        <w:rPr>
          <w:rFonts w:asciiTheme="minorHAnsi" w:hAnsiTheme="minorHAnsi" w:cstheme="minorHAnsi"/>
        </w:rPr>
        <w:t>ustal</w:t>
      </w:r>
      <w:r w:rsidR="000B2FEC" w:rsidRPr="00C33BAE">
        <w:rPr>
          <w:rFonts w:asciiTheme="minorHAnsi" w:hAnsiTheme="minorHAnsi" w:cstheme="minorHAnsi"/>
        </w:rPr>
        <w:t>o</w:t>
      </w:r>
      <w:r w:rsidRPr="00C33BAE">
        <w:rPr>
          <w:rFonts w:asciiTheme="minorHAnsi" w:hAnsiTheme="minorHAnsi" w:cstheme="minorHAnsi"/>
        </w:rPr>
        <w:t>ne przez Zarząd Wojewódzkiego Funduszu w drodze negocjacji</w:t>
      </w:r>
      <w:r w:rsidR="00712A44" w:rsidRPr="00C33BAE">
        <w:rPr>
          <w:rFonts w:asciiTheme="minorHAnsi" w:hAnsiTheme="minorHAnsi" w:cstheme="minorHAnsi"/>
        </w:rPr>
        <w:t xml:space="preserve"> z Wnioskodawcą</w:t>
      </w:r>
      <w:r w:rsidRPr="00C33BAE">
        <w:rPr>
          <w:rFonts w:asciiTheme="minorHAnsi" w:hAnsiTheme="minorHAnsi" w:cstheme="minorHAnsi"/>
        </w:rPr>
        <w:t>.</w:t>
      </w:r>
    </w:p>
    <w:p w14:paraId="375A6F38" w14:textId="520F36E1" w:rsidR="00856836" w:rsidRPr="00C33BAE" w:rsidRDefault="00303F0C" w:rsidP="00994216">
      <w:pPr>
        <w:pStyle w:val="Akapitzlist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Lines="40" w:before="96" w:line="259" w:lineRule="auto"/>
        <w:jc w:val="both"/>
        <w:rPr>
          <w:rFonts w:asciiTheme="minorHAnsi" w:hAnsiTheme="minorHAnsi" w:cstheme="minorHAnsi"/>
        </w:rPr>
      </w:pPr>
      <w:r w:rsidRPr="00C33BAE">
        <w:rPr>
          <w:rFonts w:asciiTheme="minorHAnsi" w:hAnsiTheme="minorHAnsi" w:cstheme="minorHAnsi"/>
        </w:rPr>
        <w:t xml:space="preserve">Warunkiem udzielenia pożyczki jest </w:t>
      </w:r>
      <w:r w:rsidR="00994216" w:rsidRPr="00C33BAE">
        <w:rPr>
          <w:rFonts w:asciiTheme="minorHAnsi" w:hAnsiTheme="minorHAnsi" w:cstheme="minorHAnsi"/>
        </w:rPr>
        <w:t xml:space="preserve">chroniące interes Wojewódzkiego Funduszu zabezpieczenie </w:t>
      </w:r>
      <w:r w:rsidRPr="00C33BAE">
        <w:rPr>
          <w:rFonts w:asciiTheme="minorHAnsi" w:hAnsiTheme="minorHAnsi" w:cstheme="minorHAnsi"/>
        </w:rPr>
        <w:t xml:space="preserve">oraz posiadanie zdolności </w:t>
      </w:r>
      <w:r w:rsidR="00994216" w:rsidRPr="00C33BAE">
        <w:rPr>
          <w:rFonts w:asciiTheme="minorHAnsi" w:hAnsiTheme="minorHAnsi" w:cstheme="minorHAnsi"/>
        </w:rPr>
        <w:t xml:space="preserve">Wnioskodawcy </w:t>
      </w:r>
      <w:r w:rsidRPr="00C33BAE">
        <w:rPr>
          <w:rFonts w:asciiTheme="minorHAnsi" w:hAnsiTheme="minorHAnsi" w:cstheme="minorHAnsi"/>
        </w:rPr>
        <w:t xml:space="preserve">do </w:t>
      </w:r>
      <w:r w:rsidR="00994216" w:rsidRPr="00C33BAE">
        <w:rPr>
          <w:rFonts w:asciiTheme="minorHAnsi" w:hAnsiTheme="minorHAnsi" w:cstheme="minorHAnsi"/>
        </w:rPr>
        <w:t xml:space="preserve">jej </w:t>
      </w:r>
      <w:r w:rsidRPr="00C33BAE">
        <w:rPr>
          <w:rFonts w:asciiTheme="minorHAnsi" w:hAnsiTheme="minorHAnsi" w:cstheme="minorHAnsi"/>
        </w:rPr>
        <w:t>spłaty wraz z należnymi odsetkami w umownych terminach spłaty.</w:t>
      </w:r>
    </w:p>
    <w:bookmarkEnd w:id="4"/>
    <w:p w14:paraId="6A627308" w14:textId="77777777" w:rsidR="00DD186B" w:rsidRPr="00F451F2" w:rsidRDefault="00DD186B">
      <w:pPr>
        <w:pStyle w:val="Nagwek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F451F2">
        <w:lastRenderedPageBreak/>
        <w:t>Intensywność dofinansowania</w:t>
      </w:r>
    </w:p>
    <w:p w14:paraId="5DE3E7D3" w14:textId="63C01779" w:rsidR="00DD186B" w:rsidRPr="005965F0" w:rsidRDefault="00DD186B">
      <w:pPr>
        <w:pStyle w:val="Nagwek2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5965F0">
        <w:t>Maksymalna wartość dofinansowania w postaci pożyczki może wynieść do 100</w:t>
      </w:r>
      <w:r w:rsidR="00232C9B">
        <w:t xml:space="preserve"> </w:t>
      </w:r>
      <w:r w:rsidRPr="005965F0">
        <w:t>% kosztów kwalifikowanych, z zastrzeżeniem postanowień ust. 2.</w:t>
      </w:r>
      <w:r w:rsidR="00BA6238" w:rsidRPr="005965F0">
        <w:t xml:space="preserve"> oraz </w:t>
      </w:r>
      <w:r w:rsidR="008D09DE" w:rsidRPr="005965F0">
        <w:rPr>
          <w:sz w:val="23"/>
          <w:szCs w:val="23"/>
        </w:rPr>
        <w:t>§ 4</w:t>
      </w:r>
      <w:r w:rsidR="0072019D" w:rsidRPr="005965F0">
        <w:rPr>
          <w:sz w:val="23"/>
          <w:szCs w:val="23"/>
        </w:rPr>
        <w:t xml:space="preserve"> Zasad</w:t>
      </w:r>
      <w:r w:rsidR="005965F0" w:rsidRPr="005965F0">
        <w:rPr>
          <w:sz w:val="23"/>
          <w:szCs w:val="23"/>
        </w:rPr>
        <w:t>.</w:t>
      </w:r>
    </w:p>
    <w:p w14:paraId="0B417567" w14:textId="77777777" w:rsidR="00DD186B" w:rsidRPr="005965F0" w:rsidRDefault="00DD186B">
      <w:pPr>
        <w:pStyle w:val="Nagwek2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5965F0">
        <w:t xml:space="preserve">W przypadku przedsięwzięć współfinansowanych </w:t>
      </w:r>
      <w:r w:rsidRPr="005965F0">
        <w:rPr>
          <w:rFonts w:eastAsia="Times New Roman"/>
        </w:rPr>
        <w:t>z udziałem środków pochodzących z Unii Europejskiej niepodlegających zwrotowi lub z udziałem środków bezzwrotnych pozyskiwanych w ramach współpracy z organizacjami międzynarodowymi oraz współpracy dwustronnej</w:t>
      </w:r>
      <w:r w:rsidRPr="005965F0">
        <w:t>, maksymalny poziom dofinansowania ze środków Wojewódzkiego Funduszu będzie ustalany zgodnie z warunkami uzyskanego współfinansowania.</w:t>
      </w:r>
    </w:p>
    <w:p w14:paraId="175E8CAD" w14:textId="77777777" w:rsidR="00DD186B" w:rsidRPr="005965F0" w:rsidRDefault="00DD186B">
      <w:pPr>
        <w:pStyle w:val="Nagwek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5965F0">
        <w:t>Inne postanowienia</w:t>
      </w:r>
    </w:p>
    <w:p w14:paraId="21477D86" w14:textId="7A351B0C" w:rsidR="00DD186B" w:rsidRPr="000B2FEC" w:rsidRDefault="00DD186B">
      <w:pPr>
        <w:pStyle w:val="Nagwek2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Theme="minorHAnsi" w:hAnsiTheme="minorHAnsi" w:cstheme="minorHAnsi"/>
        </w:rPr>
      </w:pPr>
      <w:r w:rsidRPr="000B2FEC">
        <w:rPr>
          <w:rFonts w:asciiTheme="minorHAnsi" w:hAnsiTheme="minorHAnsi" w:cstheme="minorHAnsi"/>
        </w:rPr>
        <w:t>W sprawach nieuregulowanych w niniejszym Programie zastosowanie mają Zasady, o których mowa w dziale III ust. 2.</w:t>
      </w:r>
    </w:p>
    <w:p w14:paraId="1316A50F" w14:textId="77777777" w:rsidR="00F42B95" w:rsidRPr="000B2FEC" w:rsidRDefault="00A43417" w:rsidP="00F42B95">
      <w:pPr>
        <w:pStyle w:val="Nagwek2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Theme="minorHAnsi" w:hAnsiTheme="minorHAnsi" w:cstheme="minorHAnsi"/>
        </w:rPr>
      </w:pPr>
      <w:r w:rsidRPr="000B2FEC">
        <w:rPr>
          <w:rFonts w:asciiTheme="minorHAnsi" w:hAnsiTheme="minorHAnsi" w:cstheme="minorHAnsi"/>
        </w:rPr>
        <w:t>Z</w:t>
      </w:r>
      <w:r w:rsidR="000C1460" w:rsidRPr="000B2FEC">
        <w:rPr>
          <w:rFonts w:asciiTheme="minorHAnsi" w:hAnsiTheme="minorHAnsi" w:cstheme="minorHAnsi"/>
        </w:rPr>
        <w:t>arząd Wojewódzkiego Funduszu określi w Regulaminie naboru wniosków o dofinansowanie</w:t>
      </w:r>
      <w:r w:rsidR="00F42B95" w:rsidRPr="000B2FEC">
        <w:rPr>
          <w:rFonts w:asciiTheme="minorHAnsi" w:hAnsiTheme="minorHAnsi" w:cstheme="minorHAnsi"/>
        </w:rPr>
        <w:t xml:space="preserve"> m.in.</w:t>
      </w:r>
      <w:r w:rsidR="000C1460" w:rsidRPr="000B2FEC">
        <w:rPr>
          <w:rFonts w:asciiTheme="minorHAnsi" w:hAnsiTheme="minorHAnsi" w:cstheme="minorHAnsi"/>
        </w:rPr>
        <w:t>:</w:t>
      </w:r>
      <w:r w:rsidR="00F42B95" w:rsidRPr="000B2FEC">
        <w:rPr>
          <w:rFonts w:asciiTheme="minorHAnsi" w:hAnsiTheme="minorHAnsi" w:cstheme="minorHAnsi"/>
        </w:rPr>
        <w:t xml:space="preserve"> </w:t>
      </w:r>
    </w:p>
    <w:p w14:paraId="42DE810D" w14:textId="77777777" w:rsidR="00F42B95" w:rsidRPr="000B2FEC" w:rsidRDefault="00A43417" w:rsidP="00740202">
      <w:pPr>
        <w:pStyle w:val="Nagwek2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ind w:left="1068"/>
        <w:rPr>
          <w:rFonts w:asciiTheme="minorHAnsi" w:hAnsiTheme="minorHAnsi" w:cstheme="minorHAnsi"/>
        </w:rPr>
      </w:pPr>
      <w:r w:rsidRPr="000B2FEC">
        <w:rPr>
          <w:rFonts w:asciiTheme="minorHAnsi" w:hAnsiTheme="minorHAnsi" w:cstheme="minorHAnsi"/>
        </w:rPr>
        <w:t xml:space="preserve">wykaz </w:t>
      </w:r>
      <w:r w:rsidR="000C1460" w:rsidRPr="000B2FEC">
        <w:rPr>
          <w:rFonts w:asciiTheme="minorHAnsi" w:hAnsiTheme="minorHAnsi" w:cstheme="minorHAnsi"/>
        </w:rPr>
        <w:t>przedsięwzięć</w:t>
      </w:r>
      <w:r w:rsidR="00F42B95" w:rsidRPr="000B2FEC">
        <w:rPr>
          <w:rFonts w:asciiTheme="minorHAnsi" w:hAnsiTheme="minorHAnsi" w:cstheme="minorHAnsi"/>
        </w:rPr>
        <w:t xml:space="preserve"> objętych dofinansowaniem w ramach Programu,</w:t>
      </w:r>
    </w:p>
    <w:p w14:paraId="2C409DE2" w14:textId="77777777" w:rsidR="00740202" w:rsidRPr="000B2FEC" w:rsidRDefault="00A43417" w:rsidP="00740202">
      <w:pPr>
        <w:pStyle w:val="Nagwek2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ind w:left="1068"/>
        <w:rPr>
          <w:rFonts w:asciiTheme="minorHAnsi" w:hAnsiTheme="minorHAnsi" w:cstheme="minorHAnsi"/>
        </w:rPr>
      </w:pPr>
      <w:r w:rsidRPr="000B2FEC">
        <w:rPr>
          <w:rFonts w:asciiTheme="minorHAnsi" w:hAnsiTheme="minorHAnsi" w:cstheme="minorHAnsi"/>
        </w:rPr>
        <w:t xml:space="preserve">zasady naboru wniosków </w:t>
      </w:r>
      <w:r w:rsidR="000C1460" w:rsidRPr="000B2FEC">
        <w:rPr>
          <w:rFonts w:asciiTheme="minorHAnsi" w:hAnsiTheme="minorHAnsi" w:cstheme="minorHAnsi"/>
        </w:rPr>
        <w:t>o dofinansowanie.</w:t>
      </w:r>
      <w:r w:rsidR="00F42B95" w:rsidRPr="000B2FEC">
        <w:rPr>
          <w:rFonts w:asciiTheme="minorHAnsi" w:hAnsiTheme="minorHAnsi" w:cstheme="minorHAnsi"/>
        </w:rPr>
        <w:t xml:space="preserve"> </w:t>
      </w:r>
    </w:p>
    <w:p w14:paraId="3737CC83" w14:textId="0197F8F0" w:rsidR="00740202" w:rsidRPr="000B2FEC" w:rsidRDefault="00740202" w:rsidP="00740202">
      <w:pPr>
        <w:pStyle w:val="Nagwek2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Theme="minorHAnsi" w:hAnsiTheme="minorHAnsi" w:cstheme="minorHAnsi"/>
        </w:rPr>
      </w:pPr>
      <w:r w:rsidRPr="000B2FEC">
        <w:rPr>
          <w:rFonts w:asciiTheme="minorHAnsi" w:hAnsiTheme="minorHAnsi" w:cstheme="minorHAnsi"/>
        </w:rPr>
        <w:t xml:space="preserve">Program, Regulamin naboru wniosków o dofinansowanie oraz ogłoszenie o naborze wniosków opublikowane zostaną na stronie internetowej Wojewódzkiego Funduszu </w:t>
      </w:r>
      <w:hyperlink r:id="rId8" w:history="1">
        <w:r w:rsidRPr="000B2FEC">
          <w:rPr>
            <w:rStyle w:val="Hipercze"/>
            <w:rFonts w:asciiTheme="minorHAnsi" w:hAnsiTheme="minorHAnsi" w:cstheme="minorHAnsi"/>
          </w:rPr>
          <w:t>www.wfosigw.torun.pl</w:t>
        </w:r>
      </w:hyperlink>
      <w:r w:rsidRPr="000B2FEC">
        <w:rPr>
          <w:rFonts w:asciiTheme="minorHAnsi" w:hAnsiTheme="minorHAnsi" w:cstheme="minorHAnsi"/>
        </w:rPr>
        <w:t>. i w Biuletynie Informacji Publicznej (bip.wfosigw.torun.pl).</w:t>
      </w:r>
    </w:p>
    <w:p w14:paraId="65C278A7" w14:textId="77777777" w:rsidR="00F42B95" w:rsidRPr="000B2FEC" w:rsidRDefault="00F42B95" w:rsidP="00F42B95">
      <w:pPr>
        <w:pStyle w:val="Nagwek2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rFonts w:asciiTheme="minorHAnsi" w:hAnsiTheme="minorHAnsi" w:cstheme="minorHAnsi"/>
        </w:rPr>
      </w:pPr>
      <w:r w:rsidRPr="000B2FEC">
        <w:rPr>
          <w:rFonts w:asciiTheme="minorHAnsi" w:hAnsiTheme="minorHAnsi" w:cstheme="minorHAnsi"/>
        </w:rPr>
        <w:t>Rada Nadzorcza może zmienić postanowienia Programu.</w:t>
      </w:r>
    </w:p>
    <w:sectPr w:rsidR="00F42B95" w:rsidRPr="000B2FEC" w:rsidSect="00667A12">
      <w:headerReference w:type="default" r:id="rId9"/>
      <w:footerReference w:type="default" r:id="rId10"/>
      <w:pgSz w:w="11900" w:h="16840"/>
      <w:pgMar w:top="1440" w:right="1077" w:bottom="1440" w:left="1077" w:header="34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FA4C5" w14:textId="77777777" w:rsidR="00D94899" w:rsidRDefault="00D948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33FC9DF5" w14:textId="77777777" w:rsidR="00D94899" w:rsidRDefault="00D948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1C2F" w14:textId="77777777" w:rsidR="00DD186B" w:rsidRDefault="00C95DF5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</w:pPr>
    <w:r>
      <w:fldChar w:fldCharType="begin"/>
    </w:r>
    <w:r>
      <w:instrText xml:space="preserve"> PAGE </w:instrText>
    </w:r>
    <w:r>
      <w:fldChar w:fldCharType="separate"/>
    </w:r>
    <w:r w:rsidR="00DD186B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1DE6" w14:textId="77777777" w:rsidR="00D94899" w:rsidRDefault="00D948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79F85516" w14:textId="77777777" w:rsidR="00D94899" w:rsidRDefault="00D948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id="1">
    <w:p w14:paraId="220D6B79" w14:textId="017EFF33" w:rsidR="00216C12" w:rsidRPr="000E5FFC" w:rsidRDefault="00216C12" w:rsidP="008156BD">
      <w:pPr>
        <w:pStyle w:val="Tekstprzypisudolneg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</w:rPr>
      </w:pPr>
      <w:r w:rsidRPr="000E5FFC">
        <w:rPr>
          <w:rStyle w:val="Odwoanieprzypisudolnego"/>
          <w:rFonts w:asciiTheme="minorHAnsi" w:hAnsiTheme="minorHAnsi" w:cstheme="minorHAnsi"/>
        </w:rPr>
        <w:footnoteRef/>
      </w:r>
      <w:r w:rsidRPr="000E5FFC">
        <w:rPr>
          <w:rFonts w:asciiTheme="minorHAnsi" w:hAnsiTheme="minorHAnsi" w:cstheme="minorHAnsi"/>
        </w:rPr>
        <w:t xml:space="preserve"> Stopa bazowa to wysokość oprocentowania stosowana do obliczania wartości pomocy publicznej ustalana przez Komisję Europejską. Dane dotyczące stopy bazowej są publikowane na stronie Urzędu Ochrony Konkurencji i Konsumentów </w:t>
      </w:r>
      <w:hyperlink r:id="rId1" w:history="1">
        <w:r w:rsidRPr="000E5FFC">
          <w:rPr>
            <w:rStyle w:val="Hipercze"/>
            <w:rFonts w:asciiTheme="minorHAnsi" w:hAnsiTheme="minorHAnsi" w:cstheme="minorHAnsi"/>
          </w:rPr>
          <w:t>www.uokik.gov.pl</w:t>
        </w:r>
      </w:hyperlink>
      <w:r w:rsidRPr="000E5FFC">
        <w:rPr>
          <w:rFonts w:asciiTheme="minorHAnsi" w:hAnsiTheme="minorHAnsi" w:cstheme="minorHAnsi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094F" w14:textId="2730E427" w:rsidR="00DD186B" w:rsidRDefault="00157DD0" w:rsidP="009C054D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rPr>
        <w:noProof/>
      </w:rPr>
      <w:drawing>
        <wp:inline distT="0" distB="0" distL="0" distR="0" wp14:anchorId="0337DC87" wp14:editId="2C9D3CC4">
          <wp:extent cx="3781425" cy="533400"/>
          <wp:effectExtent l="0" t="0" r="0" b="0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D2BE4D" w14:textId="667981D5" w:rsidR="00CB637C" w:rsidRPr="00C33BAE" w:rsidRDefault="00CB637C" w:rsidP="00CB637C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  <w:rPr>
        <w:rFonts w:ascii="Times New Roman" w:hAnsi="Times New Roman" w:cs="Times New Roman"/>
        <w:i/>
        <w:iCs/>
        <w:sz w:val="24"/>
        <w:szCs w:val="24"/>
      </w:rPr>
    </w:pPr>
    <w:r w:rsidRPr="00C33BAE">
      <w:rPr>
        <w:rFonts w:ascii="Times New Roman" w:hAnsi="Times New Roman" w:cs="Times New Roman"/>
        <w:i/>
        <w:iCs/>
        <w:sz w:val="24"/>
        <w:szCs w:val="24"/>
      </w:rPr>
      <w:t xml:space="preserve">Załącznik nr 2 do uchwały nr </w:t>
    </w:r>
    <w:r w:rsidR="00C33BAE" w:rsidRPr="00C33BAE">
      <w:rPr>
        <w:rFonts w:ascii="Times New Roman" w:hAnsi="Times New Roman" w:cs="Times New Roman"/>
        <w:i/>
        <w:iCs/>
        <w:sz w:val="24"/>
        <w:szCs w:val="24"/>
      </w:rPr>
      <w:t>527</w:t>
    </w:r>
    <w:r w:rsidRPr="00C33BAE">
      <w:rPr>
        <w:rFonts w:ascii="Times New Roman" w:hAnsi="Times New Roman" w:cs="Times New Roman"/>
        <w:i/>
        <w:iCs/>
        <w:sz w:val="24"/>
        <w:szCs w:val="24"/>
      </w:rPr>
      <w:t>/22 Zarządu WFOŚiGW w Toruniu z dnia</w:t>
    </w:r>
    <w:r w:rsidR="001B6628" w:rsidRPr="00C33BAE">
      <w:rPr>
        <w:rFonts w:ascii="Times New Roman" w:hAnsi="Times New Roman" w:cs="Times New Roman"/>
        <w:i/>
        <w:iCs/>
        <w:sz w:val="24"/>
        <w:szCs w:val="24"/>
      </w:rPr>
      <w:t xml:space="preserve"> </w:t>
    </w:r>
    <w:r w:rsidR="00C33BAE" w:rsidRPr="00C33BAE">
      <w:rPr>
        <w:rFonts w:ascii="Times New Roman" w:hAnsi="Times New Roman" w:cs="Times New Roman"/>
        <w:i/>
        <w:iCs/>
        <w:sz w:val="24"/>
        <w:szCs w:val="24"/>
      </w:rPr>
      <w:t>09</w:t>
    </w:r>
    <w:r w:rsidR="00C01309" w:rsidRPr="00C33BAE">
      <w:rPr>
        <w:rFonts w:ascii="Times New Roman" w:hAnsi="Times New Roman" w:cs="Times New Roman"/>
        <w:i/>
        <w:iCs/>
        <w:sz w:val="24"/>
        <w:szCs w:val="24"/>
      </w:rPr>
      <w:t>.05</w:t>
    </w:r>
    <w:r w:rsidRPr="00C33BAE">
      <w:rPr>
        <w:rFonts w:ascii="Times New Roman" w:hAnsi="Times New Roman" w:cs="Times New Roman"/>
        <w:i/>
        <w:iCs/>
        <w:sz w:val="24"/>
        <w:szCs w:val="24"/>
      </w:rPr>
      <w:t>.2022 r.</w:t>
    </w:r>
  </w:p>
  <w:p w14:paraId="2E07937C" w14:textId="77777777" w:rsidR="00DD186B" w:rsidRPr="0020288D" w:rsidRDefault="00DD186B" w:rsidP="009C054D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84B"/>
    <w:multiLevelType w:val="hybridMultilevel"/>
    <w:tmpl w:val="6D361B04"/>
    <w:lvl w:ilvl="0" w:tplc="AC582B74">
      <w:start w:val="13"/>
      <w:numFmt w:val="decimal"/>
      <w:lvlText w:val="%1."/>
      <w:lvlJc w:val="left"/>
      <w:pPr>
        <w:tabs>
          <w:tab w:val="num" w:pos="0"/>
        </w:tabs>
        <w:ind w:left="851" w:hanging="425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C616DC"/>
    <w:multiLevelType w:val="hybridMultilevel"/>
    <w:tmpl w:val="585899AA"/>
    <w:lvl w:ilvl="0" w:tplc="15549A1E">
      <w:start w:val="11"/>
      <w:numFmt w:val="decimal"/>
      <w:lvlText w:val="%1."/>
      <w:lvlJc w:val="left"/>
      <w:pPr>
        <w:tabs>
          <w:tab w:val="num" w:pos="425"/>
        </w:tabs>
        <w:ind w:left="1276" w:hanging="425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6B78"/>
    <w:multiLevelType w:val="hybridMultilevel"/>
    <w:tmpl w:val="30BC1E3C"/>
    <w:lvl w:ilvl="0" w:tplc="1E202E6C">
      <w:start w:val="1"/>
      <w:numFmt w:val="decimal"/>
      <w:lvlText w:val="%1."/>
      <w:lvlJc w:val="left"/>
      <w:pPr>
        <w:ind w:left="425" w:hanging="425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612B2"/>
    <w:multiLevelType w:val="hybridMultilevel"/>
    <w:tmpl w:val="E8686B8E"/>
    <w:lvl w:ilvl="0" w:tplc="378C5090">
      <w:start w:val="12"/>
      <w:numFmt w:val="decimal"/>
      <w:lvlText w:val="%1."/>
      <w:lvlJc w:val="left"/>
      <w:pPr>
        <w:tabs>
          <w:tab w:val="num" w:pos="425"/>
        </w:tabs>
        <w:ind w:left="1276" w:hanging="425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C6E0E"/>
    <w:multiLevelType w:val="hybridMultilevel"/>
    <w:tmpl w:val="014E8E66"/>
    <w:lvl w:ilvl="0" w:tplc="7130A3E8">
      <w:start w:val="1"/>
      <w:numFmt w:val="decimal"/>
      <w:lvlText w:val="%1."/>
      <w:lvlJc w:val="left"/>
      <w:pPr>
        <w:ind w:left="851" w:hanging="425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960BF"/>
    <w:multiLevelType w:val="hybridMultilevel"/>
    <w:tmpl w:val="6F70B08A"/>
    <w:lvl w:ilvl="0" w:tplc="1332E644">
      <w:start w:val="15"/>
      <w:numFmt w:val="decimal"/>
      <w:lvlText w:val="%1."/>
      <w:lvlJc w:val="left"/>
      <w:pPr>
        <w:tabs>
          <w:tab w:val="num" w:pos="425"/>
        </w:tabs>
        <w:ind w:left="1276" w:hanging="425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8C77FC"/>
    <w:multiLevelType w:val="multilevel"/>
    <w:tmpl w:val="92765C56"/>
    <w:lvl w:ilvl="0">
      <w:start w:val="12"/>
      <w:numFmt w:val="decimal"/>
      <w:lvlText w:val="%1."/>
      <w:lvlJc w:val="left"/>
      <w:pPr>
        <w:tabs>
          <w:tab w:val="num" w:pos="425"/>
        </w:tabs>
        <w:ind w:left="1276" w:hanging="425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A06D95"/>
    <w:multiLevelType w:val="hybridMultilevel"/>
    <w:tmpl w:val="542C96A4"/>
    <w:lvl w:ilvl="0" w:tplc="4D66C1C6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4FE78AE"/>
    <w:multiLevelType w:val="hybridMultilevel"/>
    <w:tmpl w:val="027229E8"/>
    <w:lvl w:ilvl="0" w:tplc="D10AEB4A">
      <w:start w:val="1"/>
      <w:numFmt w:val="decimal"/>
      <w:lvlText w:val="%1)"/>
      <w:lvlJc w:val="left"/>
      <w:pPr>
        <w:ind w:left="1174" w:hanging="360"/>
      </w:p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>
      <w:start w:val="1"/>
      <w:numFmt w:val="decimal"/>
      <w:lvlText w:val="%4."/>
      <w:lvlJc w:val="left"/>
      <w:pPr>
        <w:ind w:left="3334" w:hanging="360"/>
      </w:pPr>
    </w:lvl>
    <w:lvl w:ilvl="4" w:tplc="04150019">
      <w:start w:val="1"/>
      <w:numFmt w:val="lowerLetter"/>
      <w:lvlText w:val="%5."/>
      <w:lvlJc w:val="left"/>
      <w:pPr>
        <w:ind w:left="4054" w:hanging="360"/>
      </w:pPr>
    </w:lvl>
    <w:lvl w:ilvl="5" w:tplc="0415001B">
      <w:start w:val="1"/>
      <w:numFmt w:val="lowerRoman"/>
      <w:lvlText w:val="%6."/>
      <w:lvlJc w:val="right"/>
      <w:pPr>
        <w:ind w:left="4774" w:hanging="180"/>
      </w:pPr>
    </w:lvl>
    <w:lvl w:ilvl="6" w:tplc="0415000F">
      <w:start w:val="1"/>
      <w:numFmt w:val="decimal"/>
      <w:lvlText w:val="%7."/>
      <w:lvlJc w:val="left"/>
      <w:pPr>
        <w:ind w:left="5494" w:hanging="360"/>
      </w:pPr>
    </w:lvl>
    <w:lvl w:ilvl="7" w:tplc="04150019">
      <w:start w:val="1"/>
      <w:numFmt w:val="lowerLetter"/>
      <w:lvlText w:val="%8."/>
      <w:lvlJc w:val="left"/>
      <w:pPr>
        <w:ind w:left="6214" w:hanging="360"/>
      </w:pPr>
    </w:lvl>
    <w:lvl w:ilvl="8" w:tplc="0415001B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17432B71"/>
    <w:multiLevelType w:val="hybridMultilevel"/>
    <w:tmpl w:val="2700AE28"/>
    <w:lvl w:ilvl="0" w:tplc="A590FC1A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18786666"/>
    <w:multiLevelType w:val="hybridMultilevel"/>
    <w:tmpl w:val="4636D4FA"/>
    <w:lvl w:ilvl="0" w:tplc="F77A8950">
      <w:start w:val="13"/>
      <w:numFmt w:val="decimal"/>
      <w:lvlText w:val="%1."/>
      <w:lvlJc w:val="left"/>
      <w:pPr>
        <w:ind w:left="720" w:hanging="360"/>
      </w:pPr>
      <w:rPr>
        <w:rFonts w:ascii="Calibri" w:hAnsi="Calibri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C309C"/>
    <w:multiLevelType w:val="hybridMultilevel"/>
    <w:tmpl w:val="03D203F2"/>
    <w:lvl w:ilvl="0" w:tplc="7F623C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6B937E2"/>
    <w:multiLevelType w:val="multilevel"/>
    <w:tmpl w:val="92765C56"/>
    <w:lvl w:ilvl="0">
      <w:start w:val="12"/>
      <w:numFmt w:val="decimal"/>
      <w:lvlText w:val="%1."/>
      <w:lvlJc w:val="left"/>
      <w:pPr>
        <w:tabs>
          <w:tab w:val="num" w:pos="425"/>
        </w:tabs>
        <w:ind w:left="1276" w:hanging="425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335579"/>
    <w:multiLevelType w:val="hybridMultilevel"/>
    <w:tmpl w:val="99666AF6"/>
    <w:lvl w:ilvl="0" w:tplc="858CCD08">
      <w:start w:val="2"/>
      <w:numFmt w:val="decimal"/>
      <w:lvlText w:val="%1."/>
      <w:lvlJc w:val="left"/>
      <w:pPr>
        <w:ind w:left="425" w:hanging="425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349C5"/>
    <w:multiLevelType w:val="hybridMultilevel"/>
    <w:tmpl w:val="92765C56"/>
    <w:lvl w:ilvl="0" w:tplc="550C2024">
      <w:start w:val="12"/>
      <w:numFmt w:val="decimal"/>
      <w:lvlText w:val="%1."/>
      <w:lvlJc w:val="left"/>
      <w:pPr>
        <w:tabs>
          <w:tab w:val="num" w:pos="850"/>
        </w:tabs>
        <w:ind w:left="1701" w:hanging="425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15" w15:restartNumberingAfterBreak="0">
    <w:nsid w:val="41B75B74"/>
    <w:multiLevelType w:val="multilevel"/>
    <w:tmpl w:val="6D361B04"/>
    <w:lvl w:ilvl="0">
      <w:start w:val="13"/>
      <w:numFmt w:val="decimal"/>
      <w:lvlText w:val="%1."/>
      <w:lvlJc w:val="left"/>
      <w:pPr>
        <w:tabs>
          <w:tab w:val="num" w:pos="0"/>
        </w:tabs>
        <w:ind w:left="851" w:hanging="425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5FD4353"/>
    <w:multiLevelType w:val="multilevel"/>
    <w:tmpl w:val="2F2402F0"/>
    <w:lvl w:ilvl="0">
      <w:start w:val="2"/>
      <w:numFmt w:val="decimal"/>
      <w:lvlText w:val="%1."/>
      <w:lvlJc w:val="left"/>
      <w:pPr>
        <w:ind w:left="851" w:hanging="425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10D2BA9"/>
    <w:multiLevelType w:val="hybridMultilevel"/>
    <w:tmpl w:val="4A36538A"/>
    <w:lvl w:ilvl="0" w:tplc="D7FEDDE8">
      <w:start w:val="11"/>
      <w:numFmt w:val="decimal"/>
      <w:lvlText w:val="%1."/>
      <w:lvlJc w:val="left"/>
      <w:pPr>
        <w:tabs>
          <w:tab w:val="num" w:pos="425"/>
        </w:tabs>
        <w:ind w:left="1276" w:hanging="425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F55E6"/>
    <w:multiLevelType w:val="hybridMultilevel"/>
    <w:tmpl w:val="91F869C0"/>
    <w:lvl w:ilvl="0" w:tplc="5A6EC032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8CE23E9"/>
    <w:multiLevelType w:val="hybridMultilevel"/>
    <w:tmpl w:val="C70CD53A"/>
    <w:lvl w:ilvl="0" w:tplc="E996DC68">
      <w:start w:val="14"/>
      <w:numFmt w:val="decimal"/>
      <w:lvlText w:val="%1."/>
      <w:lvlJc w:val="left"/>
      <w:pPr>
        <w:tabs>
          <w:tab w:val="num" w:pos="425"/>
        </w:tabs>
        <w:ind w:left="1276" w:hanging="425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55189"/>
    <w:multiLevelType w:val="hybridMultilevel"/>
    <w:tmpl w:val="BA3625A6"/>
    <w:lvl w:ilvl="0" w:tplc="99EA38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BFE5A8F"/>
    <w:multiLevelType w:val="hybridMultilevel"/>
    <w:tmpl w:val="527CE358"/>
    <w:lvl w:ilvl="0" w:tplc="656C5754">
      <w:start w:val="1"/>
      <w:numFmt w:val="decimal"/>
      <w:lvlText w:val="%1."/>
      <w:lvlJc w:val="left"/>
      <w:pPr>
        <w:ind w:left="851" w:hanging="425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77F03"/>
    <w:multiLevelType w:val="hybridMultilevel"/>
    <w:tmpl w:val="B54A7964"/>
    <w:lvl w:ilvl="0" w:tplc="3FF62A82">
      <w:start w:val="15"/>
      <w:numFmt w:val="decimal"/>
      <w:lvlText w:val="%1."/>
      <w:lvlJc w:val="left"/>
      <w:pPr>
        <w:tabs>
          <w:tab w:val="num" w:pos="425"/>
        </w:tabs>
        <w:ind w:left="1276" w:hanging="425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0E632CA"/>
    <w:multiLevelType w:val="hybridMultilevel"/>
    <w:tmpl w:val="6076F1B6"/>
    <w:lvl w:ilvl="0" w:tplc="C338DB7A">
      <w:start w:val="1"/>
      <w:numFmt w:val="decimal"/>
      <w:lvlText w:val="%1."/>
      <w:lvlJc w:val="left"/>
      <w:pPr>
        <w:ind w:left="851" w:hanging="425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600E9"/>
    <w:multiLevelType w:val="hybridMultilevel"/>
    <w:tmpl w:val="2F2402F0"/>
    <w:lvl w:ilvl="0" w:tplc="A7ACF788">
      <w:start w:val="2"/>
      <w:numFmt w:val="decimal"/>
      <w:lvlText w:val="%1."/>
      <w:lvlJc w:val="left"/>
      <w:pPr>
        <w:ind w:left="851" w:hanging="425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1B3F62"/>
    <w:multiLevelType w:val="hybridMultilevel"/>
    <w:tmpl w:val="0722ED0A"/>
    <w:numStyleLink w:val="Zaimportowanystyl1"/>
  </w:abstractNum>
  <w:abstractNum w:abstractNumId="26" w15:restartNumberingAfterBreak="0">
    <w:nsid w:val="7D2242D4"/>
    <w:multiLevelType w:val="hybridMultilevel"/>
    <w:tmpl w:val="0722ED0A"/>
    <w:styleLink w:val="Zaimportowanystyl1"/>
    <w:lvl w:ilvl="0" w:tplc="2AA2135C">
      <w:start w:val="1"/>
      <w:numFmt w:val="upperRoman"/>
      <w:lvlText w:val="%1."/>
      <w:lvlJc w:val="left"/>
      <w:pPr>
        <w:ind w:left="454" w:hanging="45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3224540">
      <w:start w:val="1"/>
      <w:numFmt w:val="decimal"/>
      <w:lvlText w:val="%2."/>
      <w:lvlJc w:val="left"/>
      <w:pPr>
        <w:ind w:left="851" w:hanging="425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3FE4F68">
      <w:start w:val="1"/>
      <w:numFmt w:val="lowerLetter"/>
      <w:lvlText w:val="%3."/>
      <w:lvlJc w:val="left"/>
      <w:pPr>
        <w:ind w:left="1078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B5C66B6">
      <w:start w:val="1"/>
      <w:numFmt w:val="lowerRoman"/>
      <w:lvlText w:val="%4)"/>
      <w:lvlJc w:val="left"/>
      <w:pPr>
        <w:ind w:left="1798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21EF096">
      <w:start w:val="1"/>
      <w:numFmt w:val="lowerRoman"/>
      <w:lvlText w:val="%5)"/>
      <w:lvlJc w:val="left"/>
      <w:pPr>
        <w:ind w:left="2518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1A425C8">
      <w:start w:val="1"/>
      <w:numFmt w:val="lowerLetter"/>
      <w:lvlText w:val="(%6)"/>
      <w:lvlJc w:val="left"/>
      <w:pPr>
        <w:ind w:left="3238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9A62D3A">
      <w:start w:val="1"/>
      <w:numFmt w:val="lowerRoman"/>
      <w:lvlText w:val="(%7)"/>
      <w:lvlJc w:val="left"/>
      <w:pPr>
        <w:ind w:left="3958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781CB8">
      <w:start w:val="1"/>
      <w:numFmt w:val="lowerLetter"/>
      <w:lvlText w:val="(%8)"/>
      <w:lvlJc w:val="left"/>
      <w:pPr>
        <w:ind w:left="4678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74E0A84">
      <w:start w:val="1"/>
      <w:numFmt w:val="lowerRoman"/>
      <w:lvlText w:val="(%9)"/>
      <w:lvlJc w:val="left"/>
      <w:pPr>
        <w:ind w:left="5398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" w15:restartNumberingAfterBreak="0">
    <w:nsid w:val="7E166E50"/>
    <w:multiLevelType w:val="hybridMultilevel"/>
    <w:tmpl w:val="E2708362"/>
    <w:lvl w:ilvl="0" w:tplc="C186C16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 w16cid:durableId="740912976">
    <w:abstractNumId w:val="26"/>
  </w:num>
  <w:num w:numId="2" w16cid:durableId="738796486">
    <w:abstractNumId w:val="25"/>
  </w:num>
  <w:num w:numId="3" w16cid:durableId="915359287">
    <w:abstractNumId w:val="25"/>
    <w:lvlOverride w:ilvl="0">
      <w:lvl w:ilvl="0" w:tplc="2AC8B330">
        <w:start w:val="1"/>
        <w:numFmt w:val="upperRoman"/>
        <w:lvlText w:val="%1."/>
        <w:lvlJc w:val="left"/>
        <w:pPr>
          <w:ind w:left="454" w:hanging="454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BCA802EE">
        <w:start w:val="1"/>
        <w:numFmt w:val="decimal"/>
        <w:lvlText w:val="%2."/>
        <w:lvlJc w:val="left"/>
        <w:pPr>
          <w:ind w:left="851" w:hanging="425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E752B67A">
        <w:start w:val="1"/>
        <w:numFmt w:val="lowerLetter"/>
        <w:lvlText w:val="%3."/>
        <w:lvlJc w:val="left"/>
        <w:pPr>
          <w:tabs>
            <w:tab w:val="left" w:pos="851"/>
          </w:tabs>
          <w:ind w:left="1571" w:hanging="425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FCF60788">
        <w:start w:val="1"/>
        <w:numFmt w:val="lowerRoman"/>
        <w:lvlText w:val="%4)"/>
        <w:lvlJc w:val="left"/>
        <w:pPr>
          <w:tabs>
            <w:tab w:val="left" w:pos="851"/>
          </w:tabs>
          <w:ind w:left="2291" w:hanging="425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67605E94">
        <w:start w:val="1"/>
        <w:numFmt w:val="lowerRoman"/>
        <w:lvlText w:val="%5)"/>
        <w:lvlJc w:val="left"/>
        <w:pPr>
          <w:tabs>
            <w:tab w:val="left" w:pos="851"/>
          </w:tabs>
          <w:ind w:left="3011" w:hanging="425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AA8A23AC">
        <w:start w:val="1"/>
        <w:numFmt w:val="lowerLetter"/>
        <w:lvlText w:val="(%6)"/>
        <w:lvlJc w:val="left"/>
        <w:pPr>
          <w:tabs>
            <w:tab w:val="left" w:pos="851"/>
          </w:tabs>
          <w:ind w:left="3731" w:hanging="425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FAD2E476">
        <w:start w:val="1"/>
        <w:numFmt w:val="lowerRoman"/>
        <w:lvlText w:val="(%7)"/>
        <w:lvlJc w:val="left"/>
        <w:pPr>
          <w:tabs>
            <w:tab w:val="left" w:pos="851"/>
          </w:tabs>
          <w:ind w:left="4451" w:hanging="425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3E2C9E56">
        <w:start w:val="1"/>
        <w:numFmt w:val="lowerLetter"/>
        <w:lvlText w:val="(%8)"/>
        <w:lvlJc w:val="left"/>
        <w:pPr>
          <w:tabs>
            <w:tab w:val="left" w:pos="851"/>
          </w:tabs>
          <w:ind w:left="5171" w:hanging="425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DD221588">
        <w:start w:val="1"/>
        <w:numFmt w:val="lowerRoman"/>
        <w:lvlText w:val="(%9)"/>
        <w:lvlJc w:val="left"/>
        <w:pPr>
          <w:tabs>
            <w:tab w:val="left" w:pos="851"/>
          </w:tabs>
          <w:ind w:left="5891" w:hanging="425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 w16cid:durableId="1132480842">
    <w:abstractNumId w:val="7"/>
  </w:num>
  <w:num w:numId="5" w16cid:durableId="1952398609">
    <w:abstractNumId w:val="27"/>
  </w:num>
  <w:num w:numId="6" w16cid:durableId="1787770168">
    <w:abstractNumId w:val="24"/>
  </w:num>
  <w:num w:numId="7" w16cid:durableId="1719551998">
    <w:abstractNumId w:val="16"/>
  </w:num>
  <w:num w:numId="8" w16cid:durableId="64880677">
    <w:abstractNumId w:val="0"/>
  </w:num>
  <w:num w:numId="9" w16cid:durableId="248925464">
    <w:abstractNumId w:val="15"/>
  </w:num>
  <w:num w:numId="10" w16cid:durableId="314650330">
    <w:abstractNumId w:val="14"/>
  </w:num>
  <w:num w:numId="11" w16cid:durableId="597519929">
    <w:abstractNumId w:val="12"/>
  </w:num>
  <w:num w:numId="12" w16cid:durableId="1046950638">
    <w:abstractNumId w:val="5"/>
  </w:num>
  <w:num w:numId="13" w16cid:durableId="63454499">
    <w:abstractNumId w:val="6"/>
  </w:num>
  <w:num w:numId="14" w16cid:durableId="1290164624">
    <w:abstractNumId w:val="22"/>
  </w:num>
  <w:num w:numId="15" w16cid:durableId="139730190">
    <w:abstractNumId w:val="19"/>
  </w:num>
  <w:num w:numId="16" w16cid:durableId="831021204">
    <w:abstractNumId w:val="23"/>
  </w:num>
  <w:num w:numId="17" w16cid:durableId="897126148">
    <w:abstractNumId w:val="13"/>
  </w:num>
  <w:num w:numId="18" w16cid:durableId="466314980">
    <w:abstractNumId w:val="2"/>
  </w:num>
  <w:num w:numId="19" w16cid:durableId="55248738">
    <w:abstractNumId w:val="21"/>
  </w:num>
  <w:num w:numId="20" w16cid:durableId="1256207758">
    <w:abstractNumId w:val="17"/>
  </w:num>
  <w:num w:numId="21" w16cid:durableId="425613300">
    <w:abstractNumId w:val="3"/>
  </w:num>
  <w:num w:numId="22" w16cid:durableId="20515059">
    <w:abstractNumId w:val="1"/>
  </w:num>
  <w:num w:numId="23" w16cid:durableId="1814447879">
    <w:abstractNumId w:val="4"/>
  </w:num>
  <w:num w:numId="24" w16cid:durableId="182063159">
    <w:abstractNumId w:val="20"/>
  </w:num>
  <w:num w:numId="25" w16cid:durableId="1103457145">
    <w:abstractNumId w:val="11"/>
  </w:num>
  <w:num w:numId="26" w16cid:durableId="15729579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33171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26147077">
    <w:abstractNumId w:val="10"/>
  </w:num>
  <w:num w:numId="29" w16cid:durableId="2407983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07"/>
    <w:rsid w:val="00001E8E"/>
    <w:rsid w:val="0000510D"/>
    <w:rsid w:val="000143D3"/>
    <w:rsid w:val="000154B4"/>
    <w:rsid w:val="000250B2"/>
    <w:rsid w:val="00044E23"/>
    <w:rsid w:val="00050CFB"/>
    <w:rsid w:val="0005436A"/>
    <w:rsid w:val="000765B7"/>
    <w:rsid w:val="0009700A"/>
    <w:rsid w:val="000B1DBA"/>
    <w:rsid w:val="000B2FEC"/>
    <w:rsid w:val="000C1460"/>
    <w:rsid w:val="000E1A85"/>
    <w:rsid w:val="000E5FFC"/>
    <w:rsid w:val="00103878"/>
    <w:rsid w:val="00107BC1"/>
    <w:rsid w:val="001203D8"/>
    <w:rsid w:val="001341C8"/>
    <w:rsid w:val="001525E4"/>
    <w:rsid w:val="00154F37"/>
    <w:rsid w:val="00157DD0"/>
    <w:rsid w:val="001616BA"/>
    <w:rsid w:val="00167F57"/>
    <w:rsid w:val="001A0595"/>
    <w:rsid w:val="001B6628"/>
    <w:rsid w:val="001C35E7"/>
    <w:rsid w:val="001D5DC9"/>
    <w:rsid w:val="001F6EBB"/>
    <w:rsid w:val="0020288D"/>
    <w:rsid w:val="00211042"/>
    <w:rsid w:val="00214FCE"/>
    <w:rsid w:val="00216C12"/>
    <w:rsid w:val="00232C9B"/>
    <w:rsid w:val="0024239A"/>
    <w:rsid w:val="00253AEF"/>
    <w:rsid w:val="002542D4"/>
    <w:rsid w:val="00265B9F"/>
    <w:rsid w:val="002845FC"/>
    <w:rsid w:val="002879F7"/>
    <w:rsid w:val="00290E9A"/>
    <w:rsid w:val="00293CF6"/>
    <w:rsid w:val="002B4869"/>
    <w:rsid w:val="002C3498"/>
    <w:rsid w:val="002C7F01"/>
    <w:rsid w:val="002D1DB2"/>
    <w:rsid w:val="002D20EA"/>
    <w:rsid w:val="002E2371"/>
    <w:rsid w:val="00303D31"/>
    <w:rsid w:val="00303F0C"/>
    <w:rsid w:val="00323726"/>
    <w:rsid w:val="00332155"/>
    <w:rsid w:val="00343DD2"/>
    <w:rsid w:val="00354243"/>
    <w:rsid w:val="00375021"/>
    <w:rsid w:val="00383AA5"/>
    <w:rsid w:val="00392CA3"/>
    <w:rsid w:val="003A178F"/>
    <w:rsid w:val="003A7C9D"/>
    <w:rsid w:val="003A7E7E"/>
    <w:rsid w:val="003B1AA7"/>
    <w:rsid w:val="003B2F39"/>
    <w:rsid w:val="003B3AA5"/>
    <w:rsid w:val="003B5AAE"/>
    <w:rsid w:val="003C07E9"/>
    <w:rsid w:val="003D6192"/>
    <w:rsid w:val="003E30EC"/>
    <w:rsid w:val="003F50A2"/>
    <w:rsid w:val="003F6C37"/>
    <w:rsid w:val="00422E3B"/>
    <w:rsid w:val="004604B0"/>
    <w:rsid w:val="00470882"/>
    <w:rsid w:val="00481AEC"/>
    <w:rsid w:val="004A1F8D"/>
    <w:rsid w:val="004B3DFA"/>
    <w:rsid w:val="004F682F"/>
    <w:rsid w:val="00501CC4"/>
    <w:rsid w:val="00512419"/>
    <w:rsid w:val="0053182B"/>
    <w:rsid w:val="00536945"/>
    <w:rsid w:val="00537B4E"/>
    <w:rsid w:val="00552235"/>
    <w:rsid w:val="00554A0E"/>
    <w:rsid w:val="00564185"/>
    <w:rsid w:val="00564E4F"/>
    <w:rsid w:val="005765CD"/>
    <w:rsid w:val="00584B30"/>
    <w:rsid w:val="005965F0"/>
    <w:rsid w:val="005A04BE"/>
    <w:rsid w:val="005B356C"/>
    <w:rsid w:val="005B407F"/>
    <w:rsid w:val="005B676F"/>
    <w:rsid w:val="005D4FE5"/>
    <w:rsid w:val="005D611F"/>
    <w:rsid w:val="005E4A6C"/>
    <w:rsid w:val="005F479A"/>
    <w:rsid w:val="00603174"/>
    <w:rsid w:val="00605C03"/>
    <w:rsid w:val="006074CE"/>
    <w:rsid w:val="00611519"/>
    <w:rsid w:val="00637A24"/>
    <w:rsid w:val="00641829"/>
    <w:rsid w:val="0064258C"/>
    <w:rsid w:val="00650917"/>
    <w:rsid w:val="00651F32"/>
    <w:rsid w:val="00663FA8"/>
    <w:rsid w:val="006641A6"/>
    <w:rsid w:val="00667A12"/>
    <w:rsid w:val="006830BF"/>
    <w:rsid w:val="00694144"/>
    <w:rsid w:val="00697D2B"/>
    <w:rsid w:val="006B07FA"/>
    <w:rsid w:val="006F205C"/>
    <w:rsid w:val="00712A44"/>
    <w:rsid w:val="00717314"/>
    <w:rsid w:val="0072019D"/>
    <w:rsid w:val="00720755"/>
    <w:rsid w:val="00722924"/>
    <w:rsid w:val="00730252"/>
    <w:rsid w:val="00740202"/>
    <w:rsid w:val="00744832"/>
    <w:rsid w:val="007451A0"/>
    <w:rsid w:val="00757012"/>
    <w:rsid w:val="007624D1"/>
    <w:rsid w:val="0077678D"/>
    <w:rsid w:val="00786242"/>
    <w:rsid w:val="007A27D7"/>
    <w:rsid w:val="007B2305"/>
    <w:rsid w:val="007C7945"/>
    <w:rsid w:val="007D3673"/>
    <w:rsid w:val="007D7AEC"/>
    <w:rsid w:val="007F0CB0"/>
    <w:rsid w:val="008156BD"/>
    <w:rsid w:val="0082324D"/>
    <w:rsid w:val="00824CCF"/>
    <w:rsid w:val="008366EE"/>
    <w:rsid w:val="00843DF6"/>
    <w:rsid w:val="00856836"/>
    <w:rsid w:val="008A3ACA"/>
    <w:rsid w:val="008B722E"/>
    <w:rsid w:val="008D09DE"/>
    <w:rsid w:val="008D0ACC"/>
    <w:rsid w:val="008D1A5A"/>
    <w:rsid w:val="008D4233"/>
    <w:rsid w:val="008E3454"/>
    <w:rsid w:val="00924786"/>
    <w:rsid w:val="0096066B"/>
    <w:rsid w:val="00994216"/>
    <w:rsid w:val="009A1027"/>
    <w:rsid w:val="009A35B6"/>
    <w:rsid w:val="009A63B1"/>
    <w:rsid w:val="009B30BF"/>
    <w:rsid w:val="009B61C0"/>
    <w:rsid w:val="009C054D"/>
    <w:rsid w:val="009D48F6"/>
    <w:rsid w:val="00A015BF"/>
    <w:rsid w:val="00A3518A"/>
    <w:rsid w:val="00A43417"/>
    <w:rsid w:val="00A5104C"/>
    <w:rsid w:val="00AB4725"/>
    <w:rsid w:val="00AC06D6"/>
    <w:rsid w:val="00AC115A"/>
    <w:rsid w:val="00B1390D"/>
    <w:rsid w:val="00B20C53"/>
    <w:rsid w:val="00B21466"/>
    <w:rsid w:val="00B41737"/>
    <w:rsid w:val="00B7243F"/>
    <w:rsid w:val="00B93277"/>
    <w:rsid w:val="00BA6238"/>
    <w:rsid w:val="00BB46AF"/>
    <w:rsid w:val="00BB46E7"/>
    <w:rsid w:val="00C01309"/>
    <w:rsid w:val="00C21B4E"/>
    <w:rsid w:val="00C33206"/>
    <w:rsid w:val="00C33BAE"/>
    <w:rsid w:val="00C54D45"/>
    <w:rsid w:val="00C550B3"/>
    <w:rsid w:val="00C715AE"/>
    <w:rsid w:val="00C723AA"/>
    <w:rsid w:val="00C83ED4"/>
    <w:rsid w:val="00C95DF5"/>
    <w:rsid w:val="00CA6D49"/>
    <w:rsid w:val="00CB637C"/>
    <w:rsid w:val="00CE3BD2"/>
    <w:rsid w:val="00D12564"/>
    <w:rsid w:val="00D168E7"/>
    <w:rsid w:val="00D24D50"/>
    <w:rsid w:val="00D36185"/>
    <w:rsid w:val="00D3742B"/>
    <w:rsid w:val="00D4445B"/>
    <w:rsid w:val="00D50704"/>
    <w:rsid w:val="00D66374"/>
    <w:rsid w:val="00D73365"/>
    <w:rsid w:val="00D94899"/>
    <w:rsid w:val="00DA78D4"/>
    <w:rsid w:val="00DB1707"/>
    <w:rsid w:val="00DB2DFD"/>
    <w:rsid w:val="00DB43CE"/>
    <w:rsid w:val="00DC1D46"/>
    <w:rsid w:val="00DC5CC9"/>
    <w:rsid w:val="00DD186B"/>
    <w:rsid w:val="00DD3361"/>
    <w:rsid w:val="00DD5A32"/>
    <w:rsid w:val="00DF342C"/>
    <w:rsid w:val="00E1268B"/>
    <w:rsid w:val="00E262E8"/>
    <w:rsid w:val="00E55E24"/>
    <w:rsid w:val="00E55E9A"/>
    <w:rsid w:val="00E86566"/>
    <w:rsid w:val="00E93FF8"/>
    <w:rsid w:val="00EC05DF"/>
    <w:rsid w:val="00EC0FBB"/>
    <w:rsid w:val="00EC4381"/>
    <w:rsid w:val="00EC48D2"/>
    <w:rsid w:val="00EF5BF7"/>
    <w:rsid w:val="00F10135"/>
    <w:rsid w:val="00F138AC"/>
    <w:rsid w:val="00F231B8"/>
    <w:rsid w:val="00F36732"/>
    <w:rsid w:val="00F42B95"/>
    <w:rsid w:val="00F44010"/>
    <w:rsid w:val="00F451F2"/>
    <w:rsid w:val="00F50493"/>
    <w:rsid w:val="00F52820"/>
    <w:rsid w:val="00F924DB"/>
    <w:rsid w:val="00FA13FE"/>
    <w:rsid w:val="00FB5B1E"/>
    <w:rsid w:val="00FC0C52"/>
    <w:rsid w:val="00FC1529"/>
    <w:rsid w:val="00FC500E"/>
    <w:rsid w:val="00FD7C26"/>
    <w:rsid w:val="00FE348C"/>
    <w:rsid w:val="00FE4488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1F156B9"/>
  <w15:docId w15:val="{716957AD-1A14-4E6C-AC67-03AAAABF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A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667A12"/>
    <w:pPr>
      <w:spacing w:before="240" w:line="259" w:lineRule="auto"/>
      <w:jc w:val="both"/>
      <w:outlineLvl w:val="0"/>
    </w:pPr>
    <w:rPr>
      <w:rFonts w:ascii="Calibri" w:hAnsi="Calibri" w:cs="Arial Unicode MS"/>
      <w:b/>
      <w:bCs/>
      <w:color w:val="000000"/>
      <w:sz w:val="26"/>
      <w:szCs w:val="26"/>
      <w:u w:color="000000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667A12"/>
    <w:pPr>
      <w:spacing w:before="40" w:line="259" w:lineRule="auto"/>
      <w:jc w:val="both"/>
      <w:outlineLvl w:val="1"/>
    </w:pPr>
    <w:rPr>
      <w:rFonts w:ascii="Calibri" w:hAnsi="Calibri" w:cs="Arial Unicode MS"/>
      <w:color w:val="000000"/>
      <w:u w:color="000000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667A12"/>
    <w:pPr>
      <w:spacing w:before="40" w:line="259" w:lineRule="auto"/>
      <w:jc w:val="both"/>
      <w:outlineLvl w:val="2"/>
    </w:pPr>
    <w:rPr>
      <w:rFonts w:ascii="Calibri" w:hAnsi="Calibri" w:cs="Arial Unicode MS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667A12"/>
    <w:rPr>
      <w:rFonts w:cs="Times New Roman"/>
      <w:u w:val="single"/>
    </w:rPr>
  </w:style>
  <w:style w:type="table" w:customStyle="1" w:styleId="TableNormal1">
    <w:name w:val="Table Normal1"/>
    <w:uiPriority w:val="99"/>
    <w:rsid w:val="00667A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67A12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667A12"/>
    <w:pPr>
      <w:tabs>
        <w:tab w:val="center" w:pos="4536"/>
        <w:tab w:val="right" w:pos="9072"/>
      </w:tabs>
    </w:pPr>
    <w:rPr>
      <w:rFonts w:ascii="Calibri" w:hAnsi="Calibri" w:cs="Calibri"/>
      <w:color w:val="000000"/>
      <w:sz w:val="22"/>
      <w:szCs w:val="22"/>
      <w:u w:color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845FC"/>
    <w:rPr>
      <w:rFonts w:ascii="Calibri" w:hAnsi="Calibri" w:cs="Calibri"/>
      <w:color w:val="000000"/>
      <w:sz w:val="22"/>
      <w:szCs w:val="22"/>
      <w:u w:color="000000"/>
      <w:lang w:val="pl-PL" w:eastAsia="pl-PL" w:bidi="ar-SA"/>
    </w:rPr>
  </w:style>
  <w:style w:type="paragraph" w:customStyle="1" w:styleId="Tytuprogramu">
    <w:name w:val="Tytuł_programu"/>
    <w:uiPriority w:val="99"/>
    <w:rsid w:val="00667A12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480" w:after="480" w:line="259" w:lineRule="auto"/>
      <w:jc w:val="center"/>
    </w:pPr>
    <w:rPr>
      <w:rFonts w:ascii="Calibri" w:hAnsi="Calibri" w:cs="Arial Unicode MS"/>
      <w:b/>
      <w:bCs/>
      <w:color w:val="000000"/>
      <w:sz w:val="28"/>
      <w:szCs w:val="28"/>
      <w:u w:color="000000"/>
    </w:rPr>
  </w:style>
  <w:style w:type="paragraph" w:customStyle="1" w:styleId="Tekst">
    <w:name w:val="Tekst"/>
    <w:uiPriority w:val="99"/>
    <w:rsid w:val="00667A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40" w:line="259" w:lineRule="auto"/>
      <w:ind w:left="454"/>
      <w:jc w:val="both"/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Domylne">
    <w:name w:val="Domyślne"/>
    <w:uiPriority w:val="99"/>
    <w:rsid w:val="00667A1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/>
    </w:pPr>
    <w:rPr>
      <w:rFonts w:ascii="Helvetica Neue" w:hAnsi="Helvetica Neue" w:cs="Helvetica Neue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67A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67A12"/>
    <w:rPr>
      <w:rFonts w:cs="Times New Roman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rsid w:val="00667A12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7A27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27D7"/>
    <w:rPr>
      <w:rFonts w:ascii="Segoe UI" w:hAnsi="Segoe UI" w:cs="Segoe UI"/>
      <w:sz w:val="18"/>
      <w:szCs w:val="18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7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A27D7"/>
    <w:rPr>
      <w:rFonts w:cs="Times New Roman"/>
      <w:b/>
      <w:bCs/>
      <w:lang w:val="en-US" w:eastAsia="en-US"/>
    </w:rPr>
  </w:style>
  <w:style w:type="character" w:customStyle="1" w:styleId="alb">
    <w:name w:val="a_lb"/>
    <w:basedOn w:val="Domylnaczcionkaakapitu"/>
    <w:uiPriority w:val="99"/>
    <w:rsid w:val="007C7945"/>
    <w:rPr>
      <w:rFonts w:cs="Times New Roman"/>
    </w:rPr>
  </w:style>
  <w:style w:type="paragraph" w:styleId="Akapitzlist">
    <w:name w:val="List Paragraph"/>
    <w:basedOn w:val="Normalny"/>
    <w:uiPriority w:val="34"/>
    <w:qFormat/>
    <w:rsid w:val="007F0CB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rsid w:val="0020288D"/>
    <w:rPr>
      <w:rFonts w:cs="Times New Roman"/>
      <w:color w:val="FF00FF"/>
      <w:u w:val="single"/>
    </w:rPr>
  </w:style>
  <w:style w:type="paragraph" w:styleId="NormalnyWeb">
    <w:name w:val="Normal (Web)"/>
    <w:basedOn w:val="Normalny"/>
    <w:uiPriority w:val="99"/>
    <w:rsid w:val="00FC0C52"/>
    <w:pPr>
      <w:spacing w:before="100" w:after="100"/>
    </w:pPr>
    <w:rPr>
      <w:rFonts w:cs="Arial Unicode MS"/>
      <w:color w:val="000000"/>
      <w:u w:color="00000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616BA"/>
    <w:rPr>
      <w:rFonts w:cs="Times New Roman"/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C3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1C35E7"/>
    <w:rPr>
      <w:rFonts w:cs="Times New Roman"/>
      <w:vertAlign w:val="superscript"/>
    </w:rPr>
  </w:style>
  <w:style w:type="numbering" w:customStyle="1" w:styleId="Zaimportowanystyl1">
    <w:name w:val="Zaimportowany styl 1"/>
    <w:rsid w:val="00F23F3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&#322;gorzataP\AppData\Local\Microsoft\Windows\INetCache\Content.Outlook\S51ZXD5N\www.wfosigw.toru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fosigw.torun.pl/strona-173-strategia_wfosigw_w_toruniu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1133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priorytetowy EKO-KLIMAT– woda, powietrze, ziemia</vt:lpstr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priorytetowy EKO-KLIMAT– woda, powietrze, ziemia</dc:title>
  <dc:subject/>
  <dc:creator>Artur Farbiszewski</dc:creator>
  <cp:keywords/>
  <dc:description/>
  <cp:lastModifiedBy>Monika Dombrowska</cp:lastModifiedBy>
  <cp:revision>38</cp:revision>
  <cp:lastPrinted>2022-05-10T07:48:00Z</cp:lastPrinted>
  <dcterms:created xsi:type="dcterms:W3CDTF">2022-04-22T04:21:00Z</dcterms:created>
  <dcterms:modified xsi:type="dcterms:W3CDTF">2022-05-10T07:48:00Z</dcterms:modified>
</cp:coreProperties>
</file>