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EDCE" w14:textId="77777777" w:rsidR="00F117B0" w:rsidRDefault="00F117B0" w:rsidP="00F117B0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354/21</w:t>
      </w:r>
    </w:p>
    <w:p w14:paraId="569AD81E" w14:textId="77777777" w:rsidR="00F117B0" w:rsidRDefault="00F117B0" w:rsidP="00F117B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D61E067" w14:textId="77777777" w:rsidR="00F117B0" w:rsidRDefault="00F117B0" w:rsidP="00F117B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Zarządu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Wojew</w:t>
      </w:r>
      <w:proofErr w:type="spellEnd"/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dzkiego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Funduszu Ochrony Środowiska</w:t>
      </w:r>
    </w:p>
    <w:p w14:paraId="7EEA794D" w14:textId="77777777" w:rsidR="00F117B0" w:rsidRDefault="00F117B0" w:rsidP="00F117B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43C6D6C" w14:textId="77777777" w:rsidR="00F117B0" w:rsidRDefault="00F117B0" w:rsidP="00F117B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16.04.2021 r.</w:t>
      </w:r>
    </w:p>
    <w:p w14:paraId="1D3E71D2" w14:textId="77777777" w:rsidR="00F117B0" w:rsidRDefault="00F117B0" w:rsidP="00F117B0">
      <w:pPr>
        <w:pStyle w:val="Tytu"/>
      </w:pPr>
    </w:p>
    <w:p w14:paraId="7FA157DB" w14:textId="77777777" w:rsidR="00F117B0" w:rsidRDefault="00F117B0" w:rsidP="00F117B0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6BB47334" w14:textId="77777777" w:rsidR="00F117B0" w:rsidRDefault="00F117B0" w:rsidP="00F117B0">
      <w:pPr>
        <w:pStyle w:val="Tytu"/>
        <w:jc w:val="left"/>
        <w:rPr>
          <w:b w:val="0"/>
          <w:bCs w:val="0"/>
        </w:rPr>
      </w:pPr>
    </w:p>
    <w:p w14:paraId="04B47B78" w14:textId="77777777" w:rsidR="00F117B0" w:rsidRDefault="00F117B0" w:rsidP="00F11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uchwałą Rady Nadzorczej Wojewódzkiego Funduszu Ochrony Środowiska </w:t>
      </w:r>
      <w:r>
        <w:rPr>
          <w:sz w:val="28"/>
          <w:szCs w:val="28"/>
        </w:rPr>
        <w:br/>
        <w:t xml:space="preserve">i Gospodarki Wodnej w Toruniu nr </w:t>
      </w:r>
      <w:r>
        <w:rPr>
          <w:color w:val="auto"/>
          <w:sz w:val="28"/>
          <w:szCs w:val="28"/>
        </w:rPr>
        <w:t>78</w:t>
      </w:r>
      <w:r w:rsidRPr="00686AC2">
        <w:rPr>
          <w:color w:val="auto"/>
          <w:sz w:val="28"/>
          <w:szCs w:val="28"/>
        </w:rPr>
        <w:t>/2</w:t>
      </w:r>
      <w:r>
        <w:rPr>
          <w:color w:val="auto"/>
          <w:sz w:val="28"/>
          <w:szCs w:val="28"/>
        </w:rPr>
        <w:t>0</w:t>
      </w:r>
      <w:r w:rsidRPr="00686AC2">
        <w:rPr>
          <w:color w:val="auto"/>
          <w:sz w:val="28"/>
          <w:szCs w:val="28"/>
        </w:rPr>
        <w:t xml:space="preserve"> z dnia </w:t>
      </w:r>
      <w:r>
        <w:rPr>
          <w:color w:val="auto"/>
          <w:sz w:val="28"/>
          <w:szCs w:val="28"/>
        </w:rPr>
        <w:t>21</w:t>
      </w:r>
      <w:r w:rsidRPr="00686AC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10</w:t>
      </w:r>
      <w:r w:rsidRPr="00686AC2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0</w:t>
      </w:r>
      <w:r w:rsidRPr="00686AC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r., w zw. z § 1 ust. 1 pkt 1 „Zasad udzielania pomocy finansowej ze </w:t>
      </w:r>
      <w:proofErr w:type="spellStart"/>
      <w:r>
        <w:rPr>
          <w:sz w:val="28"/>
          <w:szCs w:val="28"/>
        </w:rPr>
        <w:t>środk</w:t>
      </w:r>
      <w:proofErr w:type="spellEnd"/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dzkiego</w:t>
      </w:r>
      <w:proofErr w:type="spellEnd"/>
      <w:r>
        <w:rPr>
          <w:sz w:val="28"/>
          <w:szCs w:val="28"/>
        </w:rPr>
        <w:t xml:space="preserve"> Funduszu Ochrony Środowiska i Gospodarki Wodnej w Toruniu”, stanowiących załącznik nr 2 do uchwały nr 27/21 Rady Nadzorczej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dzkiego</w:t>
      </w:r>
      <w:proofErr w:type="spellEnd"/>
      <w:r>
        <w:rPr>
          <w:sz w:val="28"/>
          <w:szCs w:val="28"/>
        </w:rPr>
        <w:t xml:space="preserve"> Funduszu Ochrony Środowiska i Gospodarki Wodnej w Toruniu z dnia 08.04.2021 r. (Zasady) oraz </w:t>
      </w:r>
      <w:r>
        <w:rPr>
          <w:sz w:val="28"/>
          <w:szCs w:val="28"/>
        </w:rPr>
        <w:br/>
        <w:t>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1AF15B86" w14:textId="77777777" w:rsidR="00F117B0" w:rsidRDefault="00F117B0" w:rsidP="00F117B0">
      <w:pPr>
        <w:ind w:firstLine="708"/>
        <w:jc w:val="both"/>
        <w:rPr>
          <w:sz w:val="28"/>
          <w:szCs w:val="28"/>
        </w:rPr>
      </w:pPr>
    </w:p>
    <w:p w14:paraId="3850EE9C" w14:textId="77777777" w:rsidR="00F117B0" w:rsidRPr="0022186C" w:rsidRDefault="00F117B0" w:rsidP="00F117B0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13DEA2BA" w14:textId="77777777" w:rsidR="00F117B0" w:rsidRPr="00116767" w:rsidRDefault="00F117B0" w:rsidP="00F117B0">
      <w:pPr>
        <w:pStyle w:val="Tekstpodstawowy"/>
      </w:pPr>
    </w:p>
    <w:p w14:paraId="5F157B0E" w14:textId="77777777" w:rsidR="00F117B0" w:rsidRDefault="00F117B0" w:rsidP="00F117B0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INOFAMA S.A.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</w:t>
      </w:r>
      <w:r w:rsidRPr="00AB08AA">
        <w:rPr>
          <w:sz w:val="28"/>
          <w:szCs w:val="28"/>
        </w:rPr>
        <w:t>Programu Priorytetowego EKO-KLIMAT 2020 – woda, powietrze, ziemia</w:t>
      </w:r>
      <w:r>
        <w:rPr>
          <w:sz w:val="28"/>
          <w:szCs w:val="28"/>
        </w:rPr>
        <w:t xml:space="preserve">, na realizację przedsięwzięcia pn. </w:t>
      </w:r>
      <w:r w:rsidRPr="00B914F8">
        <w:rPr>
          <w:i/>
          <w:iCs/>
        </w:rPr>
        <w:t>„</w:t>
      </w:r>
      <w:r w:rsidRPr="002D5B17">
        <w:rPr>
          <w:bCs/>
          <w:i/>
          <w:iCs/>
          <w:sz w:val="28"/>
          <w:szCs w:val="28"/>
        </w:rPr>
        <w:t>Termomodernizacja obiektu przedsiębiorstwa INOFAMA S.A.</w:t>
      </w:r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P20037, na następujących warunkach:</w:t>
      </w:r>
    </w:p>
    <w:p w14:paraId="561EBED9" w14:textId="77777777" w:rsidR="00F117B0" w:rsidRPr="00B914F8" w:rsidRDefault="00F117B0" w:rsidP="00F117B0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</w:t>
      </w:r>
      <w:r w:rsidRPr="00B914F8">
        <w:rPr>
          <w:sz w:val="28"/>
          <w:szCs w:val="28"/>
        </w:rPr>
        <w:t xml:space="preserve">do </w:t>
      </w:r>
      <w:r w:rsidRPr="00B914F8">
        <w:rPr>
          <w:b/>
          <w:bCs/>
          <w:sz w:val="28"/>
          <w:szCs w:val="28"/>
        </w:rPr>
        <w:t xml:space="preserve">1 849 472,73 </w:t>
      </w:r>
      <w:r w:rsidRPr="00B914F8">
        <w:rPr>
          <w:b/>
          <w:sz w:val="28"/>
          <w:szCs w:val="28"/>
        </w:rPr>
        <w:t>zł</w:t>
      </w:r>
      <w:r w:rsidRPr="00B914F8">
        <w:rPr>
          <w:sz w:val="28"/>
          <w:szCs w:val="28"/>
        </w:rPr>
        <w:t xml:space="preserve"> (słownie: jeden milion osiemset czterdzieści dziewięć tysięcy czterysta siedemdziesiąt dwa złote siedemdziesiąt trzy grosze), </w:t>
      </w:r>
    </w:p>
    <w:p w14:paraId="748C60D9" w14:textId="77777777" w:rsidR="00F117B0" w:rsidRDefault="00F117B0" w:rsidP="00F117B0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486C52C0" w14:textId="77777777" w:rsidR="00F117B0" w:rsidRDefault="00F117B0" w:rsidP="00F117B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0,7 stopy redyskonta weksli lecz nie mniej niż 2,25% w skali roku,</w:t>
      </w:r>
    </w:p>
    <w:p w14:paraId="7EAF7B91" w14:textId="77777777" w:rsidR="00F117B0" w:rsidRDefault="00F117B0" w:rsidP="00F117B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okres spłaty pożyczki wynosi do 180 miesięcy w tym karencja do 36 miesięcy,</w:t>
      </w:r>
    </w:p>
    <w:p w14:paraId="2D24787E" w14:textId="77777777" w:rsidR="00F117B0" w:rsidRDefault="00F117B0" w:rsidP="00F117B0">
      <w:pPr>
        <w:pStyle w:val="Tekstpodstawowy"/>
        <w:ind w:left="567"/>
        <w:rPr>
          <w:bCs/>
        </w:rPr>
      </w:pPr>
      <w:r>
        <w:t>5. zabezpieczeniem zwrotu pożyczki będzie weksel własny in blanco oraz</w:t>
      </w:r>
      <w:r w:rsidRPr="000C79FC">
        <w:rPr>
          <w:b/>
        </w:rPr>
        <w:t xml:space="preserve"> </w:t>
      </w:r>
      <w:r w:rsidRPr="000C032F">
        <w:t xml:space="preserve">hipoteka </w:t>
      </w:r>
      <w:r>
        <w:t xml:space="preserve">umowna łączna </w:t>
      </w:r>
      <w:r w:rsidRPr="000C032F">
        <w:t xml:space="preserve">do kwoty </w:t>
      </w:r>
      <w:r w:rsidRPr="00862A94">
        <w:rPr>
          <w:bCs/>
        </w:rPr>
        <w:t>2 260 000,00 zł</w:t>
      </w:r>
      <w:r>
        <w:rPr>
          <w:bCs/>
          <w:szCs w:val="26"/>
        </w:rPr>
        <w:t xml:space="preserve"> </w:t>
      </w:r>
      <w:r w:rsidRPr="00D3140E">
        <w:rPr>
          <w:bCs/>
        </w:rPr>
        <w:t>wraz z cesją praw z polisy ubezpieczeniowej, ustanowiona na</w:t>
      </w:r>
      <w:r>
        <w:rPr>
          <w:bCs/>
        </w:rPr>
        <w:t xml:space="preserve">: </w:t>
      </w:r>
    </w:p>
    <w:p w14:paraId="6B2F3557" w14:textId="77777777" w:rsidR="00F117B0" w:rsidRPr="00A551E7" w:rsidRDefault="00F117B0" w:rsidP="00F117B0">
      <w:pPr>
        <w:pStyle w:val="Tekstpodstawowy"/>
        <w:ind w:left="567"/>
      </w:pPr>
      <w:r w:rsidRPr="00A551E7">
        <w:rPr>
          <w:bCs/>
        </w:rPr>
        <w:lastRenderedPageBreak/>
        <w:t>nieruchomości gruntowej zabudowanej położonej w </w:t>
      </w:r>
      <w:r w:rsidRPr="00A551E7">
        <w:t xml:space="preserve">Inowrocławiu przy ulicy Metalowców, obejmującej działki nr 34/1 i 34/2 o  powierzchni 0,5333 ha, której właścicielem jest Skarb Państwa, a użytkownikiem wieczystym </w:t>
      </w:r>
      <w:proofErr w:type="spellStart"/>
      <w:r w:rsidRPr="00A551E7">
        <w:t>Inofama</w:t>
      </w:r>
      <w:proofErr w:type="spellEnd"/>
      <w:r w:rsidRPr="00A551E7">
        <w:t xml:space="preserve"> S.A. z siedzibą w Inowrocławiu, dla której prowadzona jest przez Sąd Rejonowy w</w:t>
      </w:r>
      <w:r>
        <w:t xml:space="preserve"> </w:t>
      </w:r>
      <w:r w:rsidRPr="00A551E7">
        <w:t>Inowrocławiu, V Wydział Ksiąg Wieczystych, księga wieczysta Nr BY1I/00083956/5</w:t>
      </w:r>
      <w:r>
        <w:t xml:space="preserve"> </w:t>
      </w:r>
      <w:r w:rsidRPr="00A551E7">
        <w:t>oraz</w:t>
      </w:r>
      <w:r>
        <w:t xml:space="preserve"> </w:t>
      </w:r>
      <w:r w:rsidRPr="00A551E7">
        <w:rPr>
          <w:bCs/>
        </w:rPr>
        <w:t>nieruchomości gruntowej zabudowanej położonej w </w:t>
      </w:r>
      <w:r w:rsidRPr="00A551E7">
        <w:t xml:space="preserve">Inowrocławiu przy ulicy Metalowców, obejmującej działki nr 12 i 27/35 o  powierzchni 0,3773 ha, której właścicielem jest Skarb Państwa, </w:t>
      </w:r>
      <w:r>
        <w:br/>
      </w:r>
      <w:r w:rsidRPr="00A551E7">
        <w:t xml:space="preserve">a użytkownikiem wieczystym </w:t>
      </w:r>
      <w:proofErr w:type="spellStart"/>
      <w:r w:rsidRPr="00A551E7">
        <w:t>Inofama</w:t>
      </w:r>
      <w:proofErr w:type="spellEnd"/>
      <w:r w:rsidRPr="00A551E7">
        <w:t xml:space="preserve"> S.A. z siedzibą w Inowrocławiu, dla której prowadzona jest przez Sąd Rejonowy w Inowrocławiu, V Wydział Ksiąg Wieczystych, księga wieczysta Nr BY1I/00083695/7</w:t>
      </w:r>
      <w:r w:rsidRPr="00922672">
        <w:rPr>
          <w:bCs/>
        </w:rPr>
        <w:t xml:space="preserve">,      </w:t>
      </w:r>
    </w:p>
    <w:p w14:paraId="0D1E33F5" w14:textId="77777777" w:rsidR="00F117B0" w:rsidRPr="00DF7333" w:rsidRDefault="00F117B0" w:rsidP="00F117B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udzielona pożyczka podlega umorzeniu,</w:t>
      </w:r>
    </w:p>
    <w:p w14:paraId="5ABC0077" w14:textId="77777777" w:rsidR="00F117B0" w:rsidRDefault="00F117B0" w:rsidP="00F117B0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DF7333">
        <w:rPr>
          <w:sz w:val="28"/>
          <w:szCs w:val="28"/>
        </w:rPr>
        <w:t xml:space="preserve">. w wyniku realizacji przedsięwzięcia osiągnięte zostaną </w:t>
      </w:r>
      <w:r>
        <w:rPr>
          <w:sz w:val="28"/>
          <w:szCs w:val="28"/>
        </w:rPr>
        <w:t>następujące efekty:</w:t>
      </w:r>
    </w:p>
    <w:p w14:paraId="796AB37D" w14:textId="77777777" w:rsidR="00F117B0" w:rsidRPr="0042789D" w:rsidRDefault="00F117B0" w:rsidP="00F117B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a) rzeczowy w postaci termomodernizacji przegród zewnętrznych, wymiany stolarki okiennej i drzwiowej, modernizacji instalacji centralnego ogrzewania, ciepłej wody użytkowej i elektrycznej, w terminie do 31.10.2021 r.,</w:t>
      </w:r>
    </w:p>
    <w:p w14:paraId="0D74AF96" w14:textId="77777777" w:rsidR="00F117B0" w:rsidRDefault="00F117B0" w:rsidP="00F117B0">
      <w:pPr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b) ekologiczny w postaci zmniejszenia zużycia energii w ilości szacunkowej wynoszącej 1365,51 GJ/rok, szacunkowego ograniczenia emisji zanieczyszczeń (MG/rok) w ilości: CO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- 124,59, 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0,034, </w:t>
      </w:r>
      <w:proofErr w:type="spellStart"/>
      <w:r>
        <w:rPr>
          <w:sz w:val="28"/>
          <w:szCs w:val="28"/>
        </w:rPr>
        <w:t>NO</w:t>
      </w:r>
      <w:r>
        <w:rPr>
          <w:sz w:val="28"/>
          <w:szCs w:val="28"/>
          <w:vertAlign w:val="subscript"/>
        </w:rPr>
        <w:t>x</w:t>
      </w:r>
      <w:proofErr w:type="spellEnd"/>
      <w:r>
        <w:rPr>
          <w:sz w:val="28"/>
          <w:szCs w:val="28"/>
        </w:rPr>
        <w:t xml:space="preserve"> – 0,135, pył – 0,003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w terminie do 31.10.2021 r.</w:t>
      </w:r>
    </w:p>
    <w:p w14:paraId="5080B3A1" w14:textId="77777777" w:rsidR="00F117B0" w:rsidRPr="00DA124F" w:rsidRDefault="00F117B0" w:rsidP="00F117B0">
      <w:pPr>
        <w:autoSpaceDN w:val="0"/>
        <w:adjustRightInd w:val="0"/>
        <w:ind w:left="567"/>
        <w:jc w:val="both"/>
        <w:rPr>
          <w:sz w:val="28"/>
          <w:szCs w:val="28"/>
        </w:rPr>
      </w:pPr>
    </w:p>
    <w:p w14:paraId="747812C8" w14:textId="77777777" w:rsidR="00F117B0" w:rsidRDefault="00F117B0" w:rsidP="00F117B0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3D75870E" w14:textId="77777777" w:rsidR="00F117B0" w:rsidRPr="003446A0" w:rsidRDefault="00F117B0" w:rsidP="00F117B0">
      <w:pPr>
        <w:ind w:left="567" w:hanging="567"/>
        <w:jc w:val="both"/>
        <w:rPr>
          <w:b/>
          <w:bCs/>
          <w:sz w:val="28"/>
          <w:szCs w:val="28"/>
        </w:rPr>
      </w:pPr>
    </w:p>
    <w:p w14:paraId="60CAFC6D" w14:textId="77777777" w:rsidR="00F117B0" w:rsidRPr="00116767" w:rsidRDefault="00F117B0" w:rsidP="00F117B0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056567B1" w14:textId="77777777" w:rsidR="00737881" w:rsidRDefault="00737881"/>
    <w:sectPr w:rsidR="00737881">
      <w:headerReference w:type="default" r:id="rId4"/>
      <w:pgSz w:w="11900" w:h="16840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C15B" w14:textId="77777777" w:rsidR="00EF2513" w:rsidRPr="00101FD2" w:rsidRDefault="00F117B0" w:rsidP="00101FD2">
    <w:pPr>
      <w:pStyle w:val="Nagwekistopka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66"/>
    <w:rsid w:val="00473B66"/>
    <w:rsid w:val="00737881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2FE0-0C3A-4DAF-85B0-79B3CEA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F117B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uiPriority w:val="10"/>
    <w:qFormat/>
    <w:rsid w:val="00F11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117B0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F11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17B0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2021-04-20T11:43:00Z</dcterms:created>
  <dcterms:modified xsi:type="dcterms:W3CDTF">2021-04-20T11:47:00Z</dcterms:modified>
</cp:coreProperties>
</file>