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F721" w14:textId="36CEDAC6" w:rsidR="006211DB" w:rsidRPr="00023764" w:rsidRDefault="005C34B8" w:rsidP="00AD29E0">
      <w:pPr>
        <w:pStyle w:val="NormalnyWeb"/>
        <w:spacing w:line="276" w:lineRule="auto"/>
        <w:jc w:val="center"/>
        <w:rPr>
          <w:b/>
          <w:bCs/>
          <w:lang w:val="pl-PL"/>
        </w:rPr>
      </w:pPr>
      <w:bookmarkStart w:id="0" w:name="_Hlk41280745"/>
      <w:r w:rsidRPr="00023764">
        <w:rPr>
          <w:b/>
          <w:bCs/>
          <w:lang w:val="pl-PL"/>
        </w:rPr>
        <w:t xml:space="preserve">Zmiany w Programie </w:t>
      </w:r>
      <w:r w:rsidR="00AD29E0">
        <w:rPr>
          <w:b/>
          <w:bCs/>
          <w:lang w:val="pl-PL"/>
        </w:rPr>
        <w:t>P</w:t>
      </w:r>
      <w:r w:rsidRPr="00023764">
        <w:rPr>
          <w:b/>
          <w:bCs/>
          <w:lang w:val="pl-PL"/>
        </w:rPr>
        <w:t>riorytetowym EKO-KLIMAT  – woda, powietrze, ziemia</w:t>
      </w:r>
    </w:p>
    <w:bookmarkEnd w:id="0"/>
    <w:p w14:paraId="515C6A32" w14:textId="77777777" w:rsidR="006211DB" w:rsidRPr="00023764" w:rsidRDefault="006211DB" w:rsidP="00A33271">
      <w:pPr>
        <w:pStyle w:val="Tekst"/>
        <w:ind w:left="284"/>
        <w:rPr>
          <w:rFonts w:ascii="Times New Roman" w:eastAsia="Times New Roman" w:hAnsi="Times New Roman" w:cs="Times New Roman"/>
        </w:rPr>
      </w:pPr>
    </w:p>
    <w:p w14:paraId="4E47F895" w14:textId="67472F83" w:rsidR="00216CB1" w:rsidRPr="00145598" w:rsidRDefault="005C34B8" w:rsidP="00145598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lang w:val="pl-PL"/>
        </w:rPr>
      </w:pPr>
      <w:r w:rsidRPr="00023764">
        <w:rPr>
          <w:lang w:val="pl-PL"/>
        </w:rPr>
        <w:t xml:space="preserve">Dział </w:t>
      </w:r>
      <w:r w:rsidRPr="00145598">
        <w:rPr>
          <w:b/>
          <w:bCs/>
          <w:lang w:val="pl-PL"/>
        </w:rPr>
        <w:t>III.</w:t>
      </w:r>
      <w:r w:rsidR="004B068A" w:rsidRPr="00145598">
        <w:rPr>
          <w:b/>
          <w:bCs/>
          <w:lang w:val="pl-PL"/>
        </w:rPr>
        <w:t xml:space="preserve"> </w:t>
      </w:r>
      <w:r w:rsidRPr="00023764">
        <w:rPr>
          <w:lang w:val="pl-PL"/>
        </w:rPr>
        <w:t>otrzymuje brzmienie:</w:t>
      </w:r>
    </w:p>
    <w:p w14:paraId="4C196E3A" w14:textId="4A3CA09B" w:rsidR="00216CB1" w:rsidRPr="00023764" w:rsidRDefault="00352069" w:rsidP="00A33271">
      <w:pPr>
        <w:pStyle w:val="Nagwek2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216CB1" w:rsidRPr="0002376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6CB1" w:rsidRPr="00A33271">
        <w:rPr>
          <w:rFonts w:ascii="Times New Roman" w:hAnsi="Times New Roman" w:cs="Times New Roman"/>
          <w:color w:val="auto"/>
          <w:sz w:val="24"/>
          <w:szCs w:val="24"/>
        </w:rPr>
        <w:t>. Ustawa z dnia 27 kwietnia 2001 r. Prawo ochrony środowiska (Dz.U. z 2021 r., poz. 1973</w:t>
      </w:r>
      <w:r w:rsidR="00216CB1" w:rsidRPr="00023764">
        <w:rPr>
          <w:rFonts w:ascii="Times New Roman" w:hAnsi="Times New Roman" w:cs="Times New Roman"/>
          <w:color w:val="auto"/>
          <w:sz w:val="24"/>
          <w:szCs w:val="24"/>
        </w:rPr>
        <w:t xml:space="preserve"> ze zm.), z zastrzeżeniem, że przedsięwzięcia objęte wnioskami o dofinansowanie muszą mieścić się w zakresie finansowania ochrony środowiska i gospodarki wodnej, </w:t>
      </w:r>
      <w:r w:rsidR="00216CB1" w:rsidRPr="00023764">
        <w:rPr>
          <w:rFonts w:ascii="Times New Roman" w:hAnsi="Times New Roman" w:cs="Times New Roman"/>
          <w:color w:val="auto"/>
          <w:sz w:val="24"/>
          <w:szCs w:val="24"/>
        </w:rPr>
        <w:br/>
        <w:t>o którym mowa w art. 400a ust. 1 i art. 400b ust. 2 tej ustawy.</w:t>
      </w:r>
    </w:p>
    <w:p w14:paraId="673DA7D9" w14:textId="2AE1A883" w:rsidR="006211DB" w:rsidRPr="00023764" w:rsidRDefault="00216CB1" w:rsidP="00A33271">
      <w:pPr>
        <w:pStyle w:val="Nagwek2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764">
        <w:rPr>
          <w:rFonts w:ascii="Times New Roman" w:hAnsi="Times New Roman" w:cs="Times New Roman"/>
          <w:color w:val="auto"/>
          <w:sz w:val="24"/>
          <w:szCs w:val="24"/>
        </w:rPr>
        <w:t xml:space="preserve">2. Zasady udzielania pomocy finansowej ze środków Wojewódzkiego Funduszu Ochrony Środowiska i Gospodarki Wodnej w Toruniu, przyjęte uchwałą nr </w:t>
      </w:r>
      <w:r w:rsidR="0090479B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023764">
        <w:rPr>
          <w:rFonts w:ascii="Times New Roman" w:hAnsi="Times New Roman" w:cs="Times New Roman"/>
          <w:color w:val="auto"/>
          <w:sz w:val="24"/>
          <w:szCs w:val="24"/>
        </w:rPr>
        <w:t xml:space="preserve">/22 Rady Nadzorczej WFOŚiGW w Toruniu z dnia </w:t>
      </w:r>
      <w:r w:rsidR="0090479B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023764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C1464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23764">
        <w:rPr>
          <w:rFonts w:ascii="Times New Roman" w:hAnsi="Times New Roman" w:cs="Times New Roman"/>
          <w:color w:val="auto"/>
          <w:sz w:val="24"/>
          <w:szCs w:val="24"/>
        </w:rPr>
        <w:t>.2022 r., zwane dalej Zasadami</w:t>
      </w:r>
      <w:r w:rsidR="00352069">
        <w:rPr>
          <w:rFonts w:ascii="Times New Roman" w:hAnsi="Times New Roman" w:cs="Times New Roman"/>
          <w:color w:val="auto"/>
          <w:sz w:val="24"/>
          <w:szCs w:val="24"/>
        </w:rPr>
        <w:t>”,</w:t>
      </w:r>
    </w:p>
    <w:p w14:paraId="7BF3652F" w14:textId="437DC771" w:rsidR="00305BF6" w:rsidRPr="00023764" w:rsidRDefault="00305BF6" w:rsidP="009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07043" w14:textId="77777777" w:rsidR="00352069" w:rsidRPr="00352069" w:rsidRDefault="00305BF6" w:rsidP="0095237E">
      <w:pPr>
        <w:pStyle w:val="Akapitzlist"/>
        <w:numPr>
          <w:ilvl w:val="0"/>
          <w:numId w:val="2"/>
        </w:numPr>
        <w:jc w:val="both"/>
      </w:pPr>
      <w:r w:rsidRPr="00023764">
        <w:t xml:space="preserve">Dział </w:t>
      </w:r>
      <w:r w:rsidRPr="00023764">
        <w:rPr>
          <w:rFonts w:eastAsia="Arial Unicode MS"/>
          <w:b/>
          <w:bCs/>
        </w:rPr>
        <w:t>IV</w:t>
      </w:r>
      <w:r w:rsidR="00145598">
        <w:rPr>
          <w:rFonts w:eastAsia="Arial Unicode MS"/>
          <w:b/>
          <w:bCs/>
        </w:rPr>
        <w:t xml:space="preserve">. pkt </w:t>
      </w:r>
      <w:r w:rsidRPr="00145598">
        <w:rPr>
          <w:rFonts w:eastAsia="Arial Unicode MS"/>
          <w:b/>
          <w:bCs/>
          <w:bdr w:val="none" w:sz="0" w:space="0" w:color="auto"/>
        </w:rPr>
        <w:t>1</w:t>
      </w:r>
      <w:r w:rsidRPr="00023764">
        <w:rPr>
          <w:rFonts w:eastAsia="Arial Unicode MS"/>
          <w:bdr w:val="none" w:sz="0" w:space="0" w:color="auto"/>
        </w:rPr>
        <w:t xml:space="preserve"> otrzymuje brzmienie:</w:t>
      </w:r>
    </w:p>
    <w:p w14:paraId="25A9A741" w14:textId="22EE408E" w:rsidR="00305BF6" w:rsidRPr="00023764" w:rsidRDefault="00352069" w:rsidP="0095237E">
      <w:pPr>
        <w:pStyle w:val="Akapitzlist"/>
        <w:ind w:left="426"/>
        <w:jc w:val="both"/>
      </w:pPr>
      <w:r>
        <w:t>„1.</w:t>
      </w:r>
      <w:r w:rsidR="002F2D0A">
        <w:t xml:space="preserve"> </w:t>
      </w:r>
      <w:r w:rsidR="00305BF6" w:rsidRPr="00023764">
        <w:t>Beneficjentami Programu są osoby fizyczne, osoby prawne oraz jednostki organizacyjne nieposiadające osobowości prawnej, realizujące bądź planujące realizować przedsięwzięcia proekologiczne określone przez Zarząd Wojewódzkiego Funduszu w</w:t>
      </w:r>
      <w:r>
        <w:t> </w:t>
      </w:r>
      <w:r w:rsidR="00305BF6" w:rsidRPr="00023764">
        <w:t>Regulaminie naboru wniosków o dofinansowanie</w:t>
      </w:r>
      <w:r>
        <w:t>”,</w:t>
      </w:r>
    </w:p>
    <w:p w14:paraId="058A2CBA" w14:textId="77777777" w:rsidR="00017E3E" w:rsidRPr="00023764" w:rsidRDefault="00017E3E" w:rsidP="00A33271">
      <w:pPr>
        <w:pStyle w:val="Akapitzlist"/>
        <w:spacing w:line="276" w:lineRule="auto"/>
        <w:ind w:left="851"/>
        <w:jc w:val="both"/>
      </w:pPr>
    </w:p>
    <w:p w14:paraId="20E868CF" w14:textId="30F6B551" w:rsidR="00017E3E" w:rsidRPr="00023764" w:rsidRDefault="00017E3E" w:rsidP="00A33271">
      <w:pPr>
        <w:pStyle w:val="Akapitzlist"/>
        <w:numPr>
          <w:ilvl w:val="0"/>
          <w:numId w:val="2"/>
        </w:numPr>
        <w:spacing w:line="276" w:lineRule="auto"/>
        <w:jc w:val="both"/>
      </w:pPr>
      <w:r w:rsidRPr="00023764">
        <w:t xml:space="preserve">Dział </w:t>
      </w:r>
      <w:r w:rsidRPr="00023764">
        <w:rPr>
          <w:rFonts w:eastAsia="Arial Unicode MS"/>
          <w:b/>
          <w:bCs/>
        </w:rPr>
        <w:t>VIII</w:t>
      </w:r>
      <w:r w:rsidR="00E01DA4">
        <w:rPr>
          <w:rFonts w:eastAsia="Arial Unicode MS"/>
          <w:b/>
          <w:bCs/>
        </w:rPr>
        <w:t>.</w:t>
      </w:r>
      <w:r w:rsidR="00145598">
        <w:rPr>
          <w:rFonts w:eastAsia="Arial Unicode MS"/>
          <w:b/>
          <w:bCs/>
        </w:rPr>
        <w:t xml:space="preserve"> </w:t>
      </w:r>
      <w:r w:rsidRPr="00023764">
        <w:rPr>
          <w:rFonts w:eastAsia="Arial Unicode MS"/>
          <w:bdr w:val="none" w:sz="0" w:space="0" w:color="auto"/>
        </w:rPr>
        <w:t>otrzymuje brzmienie:</w:t>
      </w:r>
    </w:p>
    <w:p w14:paraId="3F3F7729" w14:textId="292F43AE" w:rsidR="00017E3E" w:rsidRPr="00023764" w:rsidRDefault="00352069" w:rsidP="00A33271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17E3E" w:rsidRPr="00023764">
        <w:rPr>
          <w:rFonts w:ascii="Times New Roman" w:hAnsi="Times New Roman" w:cs="Times New Roman"/>
        </w:rPr>
        <w:t xml:space="preserve">Okres kwalifikowalności kosztów obejmuje wydatki poniesione przez Beneficjenta </w:t>
      </w:r>
      <w:r w:rsidR="00017E3E" w:rsidRPr="00023764">
        <w:rPr>
          <w:rFonts w:ascii="Times New Roman" w:hAnsi="Times New Roman" w:cs="Times New Roman"/>
          <w:b/>
          <w:bCs/>
        </w:rPr>
        <w:t>od 01.05.2020 roku do 30.06.2029 roku.</w:t>
      </w:r>
      <w:r w:rsidR="00017E3E" w:rsidRPr="00023764">
        <w:rPr>
          <w:rFonts w:ascii="Times New Roman" w:hAnsi="Times New Roman" w:cs="Times New Roman"/>
        </w:rPr>
        <w:t xml:space="preserve"> Wydatki poniesione przez Beneficjenta </w:t>
      </w:r>
      <w:r w:rsidR="00017E3E" w:rsidRPr="00023764">
        <w:rPr>
          <w:rFonts w:ascii="Times New Roman" w:hAnsi="Times New Roman" w:cs="Times New Roman"/>
        </w:rPr>
        <w:br/>
        <w:t>w okresie kwalifikowalności kosztów mogą być uznane do refundacji przy ustalaniu kwoty dofinansowania, jeśli zostały poniesione przez Wnioskodawcę w okresie nie dłuższym niż 1 rok przed złożeniem wniosku o dofinansowanie</w:t>
      </w:r>
      <w:r>
        <w:rPr>
          <w:rFonts w:ascii="Times New Roman" w:hAnsi="Times New Roman" w:cs="Times New Roman"/>
        </w:rPr>
        <w:t>”</w:t>
      </w:r>
      <w:r w:rsidR="002F2D0A">
        <w:rPr>
          <w:rFonts w:ascii="Times New Roman" w:hAnsi="Times New Roman" w:cs="Times New Roman"/>
        </w:rPr>
        <w:t>,</w:t>
      </w:r>
    </w:p>
    <w:p w14:paraId="39D8165E" w14:textId="77777777" w:rsidR="00305BF6" w:rsidRPr="00023764" w:rsidRDefault="00305BF6" w:rsidP="00A33271">
      <w:pPr>
        <w:pStyle w:val="Akapitzlist"/>
        <w:ind w:left="1146"/>
        <w:jc w:val="both"/>
      </w:pPr>
    </w:p>
    <w:p w14:paraId="0CEA2399" w14:textId="0396C084" w:rsidR="00352069" w:rsidRPr="00352069" w:rsidRDefault="007373EA" w:rsidP="00352069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bookmarkStart w:id="1" w:name="_Hlk99025515"/>
      <w:r w:rsidRPr="00023764">
        <w:t>Dział</w:t>
      </w:r>
      <w:r w:rsidRPr="00023764">
        <w:rPr>
          <w:rFonts w:eastAsia="Arial Unicode MS"/>
          <w:b/>
          <w:bCs/>
        </w:rPr>
        <w:t xml:space="preserve"> IX</w:t>
      </w:r>
      <w:bookmarkEnd w:id="1"/>
      <w:r w:rsidR="00E01DA4">
        <w:rPr>
          <w:rFonts w:eastAsia="Arial Unicode MS"/>
          <w:b/>
          <w:bCs/>
        </w:rPr>
        <w:t>.</w:t>
      </w:r>
      <w:r w:rsidR="00145598">
        <w:rPr>
          <w:rFonts w:eastAsia="Arial Unicode MS"/>
          <w:b/>
          <w:bCs/>
        </w:rPr>
        <w:t xml:space="preserve"> </w:t>
      </w:r>
      <w:r w:rsidR="005425E9" w:rsidRPr="00023764">
        <w:rPr>
          <w:rFonts w:eastAsia="Arial Unicode MS"/>
          <w:bdr w:val="none" w:sz="0" w:space="0" w:color="auto"/>
        </w:rPr>
        <w:t>otrzymuje brzmienie:</w:t>
      </w:r>
      <w:bookmarkStart w:id="2" w:name="_Hlk99022339"/>
      <w:bookmarkStart w:id="3" w:name="_Hlk99025724"/>
    </w:p>
    <w:p w14:paraId="0054600E" w14:textId="65CC841F" w:rsidR="00017E3E" w:rsidRPr="00352069" w:rsidRDefault="00352069" w:rsidP="00352069">
      <w:pPr>
        <w:pStyle w:val="Akapitzlist"/>
        <w:ind w:left="426"/>
        <w:jc w:val="both"/>
        <w:rPr>
          <w:rFonts w:eastAsia="Calibri"/>
        </w:rPr>
      </w:pPr>
      <w:r>
        <w:rPr>
          <w:rFonts w:eastAsia="Arial Unicode MS"/>
          <w:bdr w:val="none" w:sz="0" w:space="0" w:color="auto"/>
        </w:rPr>
        <w:t xml:space="preserve">„1. </w:t>
      </w:r>
      <w:r w:rsidR="00017E3E" w:rsidRPr="00352069">
        <w:rPr>
          <w:rFonts w:eastAsia="Arial Unicode MS"/>
        </w:rPr>
        <w:t xml:space="preserve">Dofinansowanie w ramach Programu udzielane jest w formie oprocentowanych pożyczek, udzielanych w dwóch wariantach: </w:t>
      </w:r>
    </w:p>
    <w:p w14:paraId="3FF5A3CC" w14:textId="77777777" w:rsidR="00017E3E" w:rsidRPr="00023764" w:rsidRDefault="00017E3E" w:rsidP="00A332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eastAsia="Arial Unicode MS"/>
        </w:rPr>
      </w:pPr>
      <w:r w:rsidRPr="00023764">
        <w:rPr>
          <w:rFonts w:eastAsia="Arial Unicode MS"/>
        </w:rPr>
        <w:t>1) z częściowym umorzeniem,</w:t>
      </w:r>
    </w:p>
    <w:p w14:paraId="4D99911E" w14:textId="77777777" w:rsidR="00017E3E" w:rsidRPr="00023764" w:rsidRDefault="00017E3E" w:rsidP="00A33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3764">
        <w:rPr>
          <w:rFonts w:ascii="Times New Roman" w:eastAsia="Arial Unicode MS" w:hAnsi="Times New Roman" w:cs="Times New Roman"/>
          <w:sz w:val="24"/>
          <w:szCs w:val="24"/>
        </w:rPr>
        <w:t>2) bez umorzenia,</w:t>
      </w:r>
    </w:p>
    <w:p w14:paraId="1761031E" w14:textId="77777777" w:rsidR="00017E3E" w:rsidRPr="00023764" w:rsidRDefault="00017E3E" w:rsidP="00A33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3764">
        <w:rPr>
          <w:rFonts w:ascii="Times New Roman" w:eastAsia="Arial Unicode MS" w:hAnsi="Times New Roman" w:cs="Times New Roman"/>
          <w:sz w:val="24"/>
          <w:szCs w:val="24"/>
        </w:rPr>
        <w:t>wg wyboru Wnioskodawcy.</w:t>
      </w:r>
    </w:p>
    <w:p w14:paraId="7FC159DB" w14:textId="7EF893C3" w:rsidR="00017E3E" w:rsidRPr="00023764" w:rsidRDefault="000F7BF4" w:rsidP="00352069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17E3E" w:rsidRPr="00023764">
        <w:rPr>
          <w:rFonts w:eastAsia="Arial Unicode MS"/>
        </w:rPr>
        <w:t xml:space="preserve">Oprocentowanie pożyczek jest zmienne i określane na podstawie stopy redyskonta weksli, ustalanej przez Radę Polityki Pieniężnej, ogłaszanej obwieszczeniem Prezesa NBP obowiązującej w dniu zawarcia umowy pożyczki. </w:t>
      </w:r>
    </w:p>
    <w:p w14:paraId="37A11D19" w14:textId="31D978B5" w:rsidR="00017E3E" w:rsidRPr="00023764" w:rsidRDefault="000F7BF4" w:rsidP="00352069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17E3E" w:rsidRPr="00023764">
        <w:rPr>
          <w:rFonts w:eastAsia="Arial Unicode MS"/>
        </w:rPr>
        <w:t>Oprocentowanie pożyczek wynosi:</w:t>
      </w:r>
    </w:p>
    <w:p w14:paraId="3AE60958" w14:textId="77777777" w:rsidR="00017E3E" w:rsidRPr="00023764" w:rsidRDefault="00017E3E" w:rsidP="00A33271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 w:line="259" w:lineRule="auto"/>
        <w:contextualSpacing/>
        <w:jc w:val="both"/>
        <w:rPr>
          <w:rFonts w:eastAsia="Arial Unicode MS"/>
        </w:rPr>
      </w:pPr>
      <w:smartTag w:uri="urn:schemas-microsoft-com:office:smarttags" w:element="metricconverter">
        <w:smartTagPr>
          <w:attr w:name="ProductID" w:val="0,8 stopy"/>
        </w:smartTagPr>
        <w:r w:rsidRPr="00023764">
          <w:rPr>
            <w:rFonts w:eastAsia="Arial Unicode MS"/>
          </w:rPr>
          <w:t>0,8 stopy</w:t>
        </w:r>
      </w:smartTag>
      <w:r w:rsidRPr="00023764">
        <w:rPr>
          <w:rFonts w:eastAsia="Arial Unicode MS"/>
        </w:rPr>
        <w:t xml:space="preserve"> redyskonta weksli w stosunku rocznym dla pożyczek z częściowym umorzeniem, lecz nie mniej niż 2,25 %,</w:t>
      </w:r>
    </w:p>
    <w:p w14:paraId="260156D4" w14:textId="77777777" w:rsidR="00017E3E" w:rsidRPr="00023764" w:rsidRDefault="00017E3E" w:rsidP="00A33271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 w:line="259" w:lineRule="auto"/>
        <w:contextualSpacing/>
        <w:jc w:val="both"/>
        <w:rPr>
          <w:rFonts w:eastAsia="Arial Unicode MS"/>
        </w:rPr>
      </w:pPr>
      <w:smartTag w:uri="urn:schemas-microsoft-com:office:smarttags" w:element="metricconverter">
        <w:smartTagPr>
          <w:attr w:name="ProductID" w:val="0,7 stopy"/>
        </w:smartTagPr>
        <w:r w:rsidRPr="00023764">
          <w:rPr>
            <w:rFonts w:eastAsia="Arial Unicode MS"/>
          </w:rPr>
          <w:t>0,7 stopy</w:t>
        </w:r>
      </w:smartTag>
      <w:r w:rsidRPr="00023764">
        <w:rPr>
          <w:rFonts w:eastAsia="Arial Unicode MS"/>
        </w:rPr>
        <w:t xml:space="preserve"> redyskonta weksli w stosunku rocznym dla pożyczek bez umorzenia, lecz nie mniej niż 2,00 %. </w:t>
      </w:r>
    </w:p>
    <w:p w14:paraId="1C6CBF09" w14:textId="5C467FD1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W przypadku przedsięwzięć podlegających przepisom pomocy publicznej, Wojewódzki Fundusz może ustalić na wniosek Wnioskodawcy wyższe oprocentowanie </w:t>
      </w:r>
      <w:r w:rsidRPr="00023764">
        <w:rPr>
          <w:rFonts w:eastAsia="Arial Unicode MS"/>
        </w:rPr>
        <w:lastRenderedPageBreak/>
        <w:t>(tzw. rynkowe), nie niższe niż stopa bazowa</w:t>
      </w:r>
      <w:r w:rsidRPr="00023764">
        <w:rPr>
          <w:rStyle w:val="Odwoanieprzypisudolnego"/>
        </w:rPr>
        <w:footnoteReference w:id="1"/>
      </w:r>
      <w:r w:rsidRPr="00023764">
        <w:rPr>
          <w:rFonts w:eastAsia="Arial Unicode MS"/>
        </w:rPr>
        <w:t xml:space="preserve"> obowiązująca w dniu zawarcia umowy, powiększone o marżę. </w:t>
      </w:r>
    </w:p>
    <w:p w14:paraId="12E982B5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Oprocentowanie pożyczek jest aktualizowane w okresach kwartalnych, na podstawie wysokości stopy redyskonta weksli z ostatniego dnia roboczego poprzedniego kwartału.</w:t>
      </w:r>
    </w:p>
    <w:bookmarkEnd w:id="2"/>
    <w:p w14:paraId="23480357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Minimalna kwota pożyczki wynosi 80 000 zł. </w:t>
      </w:r>
    </w:p>
    <w:p w14:paraId="1CB4F32E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Minimalny okres spłaty pożyczki uzależniony jest od wariantu pożyczki i wynosi: </w:t>
      </w:r>
    </w:p>
    <w:p w14:paraId="64E1E5A1" w14:textId="77777777" w:rsidR="00017E3E" w:rsidRPr="00023764" w:rsidRDefault="00017E3E" w:rsidP="000F7BF4">
      <w:pPr>
        <w:pStyle w:val="Nagwek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425" w:firstLine="142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23764">
        <w:rPr>
          <w:rFonts w:ascii="Times New Roman" w:hAnsi="Times New Roman" w:cs="Times New Roman"/>
          <w:color w:val="000000"/>
          <w:sz w:val="24"/>
          <w:szCs w:val="24"/>
          <w:u w:color="000000"/>
        </w:rPr>
        <w:t>5 lat dla pożyczki z częściowym umorzeniem,</w:t>
      </w:r>
    </w:p>
    <w:p w14:paraId="49333AFD" w14:textId="77777777" w:rsidR="00017E3E" w:rsidRPr="00023764" w:rsidRDefault="00017E3E" w:rsidP="000F7BF4">
      <w:pPr>
        <w:pStyle w:val="Nagwek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425" w:firstLine="142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23764">
        <w:rPr>
          <w:rFonts w:ascii="Times New Roman" w:hAnsi="Times New Roman" w:cs="Times New Roman"/>
          <w:color w:val="000000"/>
          <w:sz w:val="24"/>
          <w:szCs w:val="24"/>
          <w:u w:color="000000"/>
        </w:rPr>
        <w:t>2 lata dla pożyczki bez umorzenia.</w:t>
      </w:r>
    </w:p>
    <w:p w14:paraId="4D6ACC28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Maksymalny okres spłaty pożyczki uzależniony jest od specyfiki przedsięwzięcia, oceny ryzyka niespłacenia pożyczki oraz form jej zabezpieczenia i wynosi do 15 lat. Okres ten jest liczony od określonej w umowie daty wypłaty pierwszej transzy pożyczki do dnia określonej w umowie spłaty ostatniej raty. </w:t>
      </w:r>
    </w:p>
    <w:p w14:paraId="152708FA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Łączny okres karencji w spłacie pożyczki nie może być dłuższy niż 36 miesięcy.</w:t>
      </w:r>
    </w:p>
    <w:p w14:paraId="15902E9F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Udzielenie dofinansowania i umorzenia następuje z uwzględnieniem przepisów regulujących dopuszczalną pomoc publiczną.</w:t>
      </w:r>
    </w:p>
    <w:p w14:paraId="57594E65" w14:textId="2BC4B420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Udzielenie umorzenia w ramach Programu następuje bez względu na inne źródła finansowania przedsięwzięcia, w tym także bezzwrotne, z wyłączeniem przedsięwzięć współfinansowanych z udziałem dotacji lub pożyczek ze środków Narodowego Funduszu Ochrony Środowiska i Gospodarki Wodnej oraz innych środków publicznych, także zagranicznych, których zasady wyłączają możliwość bezzwrotnego dofinansowania </w:t>
      </w:r>
      <w:r w:rsidR="00AD29E0">
        <w:rPr>
          <w:rFonts w:eastAsia="Arial Unicode MS"/>
        </w:rPr>
        <w:br/>
      </w:r>
      <w:r w:rsidRPr="00023764">
        <w:rPr>
          <w:rFonts w:eastAsia="Arial Unicode MS"/>
        </w:rPr>
        <w:t>w części wymaganego od Beneficjenta udziału własnego.</w:t>
      </w:r>
    </w:p>
    <w:p w14:paraId="18216138" w14:textId="14E74563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W przypadku pożyczki z umorzeniem, pożyczka jest częściowo umarzana na wniosek Pożyczkobiorcy, jeśli łącznie zostaną spełnione warunki określone w § 14 ust. 5 Zasad.  Maksymalna wartość umorzenia nie może przekraczać 15 % wypłaconej kwoty pożyczki i nie może być wyższa niż 500 000,00 zł. Poziom umorzenia uzależniony jest od okresu spłaty pożyczki i narasta po upływie każdego roku od dnia jej zawarcia </w:t>
      </w:r>
      <w:r w:rsidR="009135DC" w:rsidRPr="00023764">
        <w:rPr>
          <w:rFonts w:eastAsia="Arial Unicode MS"/>
        </w:rPr>
        <w:br/>
      </w:r>
      <w:r w:rsidRPr="00023764">
        <w:rPr>
          <w:rFonts w:eastAsia="Arial Unicode MS"/>
        </w:rPr>
        <w:t>o jeden punkt procentowy, począwszy od piątego roku, wg schematu: 5 lat (60 miesięcy) – 5 %, 6 lat (72 miesiące) – 6 % itd. aż do 15 lat (180 miesięcy) – 15 %.</w:t>
      </w:r>
    </w:p>
    <w:p w14:paraId="539B63BB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Minimalny okres zachowania trwałości przedsięwzięcia uzależniony jest od specyfiki przedsięwzięcia i nie powinien być krótszy niż 5 lat od daty jego zakończenia.</w:t>
      </w:r>
    </w:p>
    <w:p w14:paraId="0B4DD43B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W przypadku, gdy wartość wnioskowanej pożyczki przekracza 5 milionów złotych, oprocentowanie pożyczki oraz warunki częściowego jej umorzenia, z wyjątkiem maksymalnej kwoty umorzenia, mogą zostać ustalone przez Zarząd Wojewódzkiego Funduszu w drodze negocjacji z Wnioskodawcą.</w:t>
      </w:r>
    </w:p>
    <w:p w14:paraId="1E4FE4C7" w14:textId="3EF6C353" w:rsidR="00805F27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Warunkiem udzielenia pożyczki jest chroniące interes Wojewódzkiego Funduszu zabezpieczenie oraz posiadanie zdolności Wnioskodawcy do jej spłaty wraz </w:t>
      </w:r>
      <w:r w:rsidR="009135DC" w:rsidRPr="00023764">
        <w:rPr>
          <w:rFonts w:eastAsia="Arial Unicode MS"/>
        </w:rPr>
        <w:br/>
      </w:r>
      <w:r w:rsidRPr="00023764">
        <w:rPr>
          <w:rFonts w:eastAsia="Arial Unicode MS"/>
        </w:rPr>
        <w:t>z należnymi odsetkami w umownych terminach spłaty</w:t>
      </w:r>
      <w:r w:rsidR="00925F68">
        <w:rPr>
          <w:rFonts w:eastAsia="Arial Unicode MS"/>
        </w:rPr>
        <w:t>”,</w:t>
      </w:r>
      <w:bookmarkEnd w:id="3"/>
    </w:p>
    <w:p w14:paraId="1BB01947" w14:textId="77777777" w:rsidR="000F7BF4" w:rsidRPr="000F7BF4" w:rsidRDefault="000F7BF4" w:rsidP="000F7BF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left="567"/>
        <w:contextualSpacing/>
        <w:jc w:val="both"/>
        <w:rPr>
          <w:rFonts w:eastAsia="Arial Unicode MS"/>
        </w:rPr>
      </w:pPr>
    </w:p>
    <w:p w14:paraId="37C78456" w14:textId="38ABA423" w:rsidR="00805F27" w:rsidRPr="00023764" w:rsidRDefault="006D3B24" w:rsidP="00A3327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contextualSpacing/>
        <w:jc w:val="both"/>
      </w:pPr>
      <w:r>
        <w:rPr>
          <w:rFonts w:eastAsia="Arial Unicode MS"/>
          <w:bdr w:val="none" w:sz="0" w:space="0" w:color="auto"/>
        </w:rPr>
        <w:t>Dział</w:t>
      </w:r>
      <w:r w:rsidR="00805F27" w:rsidRPr="00023764">
        <w:rPr>
          <w:rFonts w:eastAsia="Arial Unicode MS"/>
          <w:bdr w:val="none" w:sz="0" w:space="0" w:color="auto"/>
        </w:rPr>
        <w:t xml:space="preserve"> </w:t>
      </w:r>
      <w:r w:rsidR="00805F27" w:rsidRPr="00023764">
        <w:rPr>
          <w:rFonts w:eastAsia="Arial Unicode MS"/>
          <w:b/>
          <w:bCs/>
        </w:rPr>
        <w:t>X</w:t>
      </w:r>
      <w:r w:rsidR="00145598">
        <w:rPr>
          <w:rFonts w:eastAsia="Arial Unicode MS"/>
          <w:b/>
          <w:bCs/>
        </w:rPr>
        <w:t xml:space="preserve">. </w:t>
      </w:r>
      <w:r w:rsidR="00805F27" w:rsidRPr="00145598">
        <w:rPr>
          <w:rFonts w:eastAsia="Arial Unicode MS"/>
          <w:b/>
          <w:bCs/>
          <w:bdr w:val="none" w:sz="0" w:space="0" w:color="auto"/>
        </w:rPr>
        <w:t>pkt 1</w:t>
      </w:r>
      <w:r w:rsidR="00805F27" w:rsidRPr="00023764">
        <w:rPr>
          <w:rFonts w:eastAsia="Arial Unicode MS"/>
          <w:bdr w:val="none" w:sz="0" w:space="0" w:color="auto"/>
        </w:rPr>
        <w:t xml:space="preserve"> otrzymuje brzmienie:</w:t>
      </w:r>
    </w:p>
    <w:p w14:paraId="58968AB2" w14:textId="2253AA3B" w:rsidR="002176DB" w:rsidRPr="00023764" w:rsidRDefault="002176DB" w:rsidP="002F2D0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ind w:left="426"/>
        <w:contextualSpacing/>
        <w:jc w:val="both"/>
        <w:rPr>
          <w:rFonts w:eastAsia="Arial Unicode MS"/>
          <w:b/>
          <w:bCs/>
        </w:rPr>
      </w:pPr>
    </w:p>
    <w:p w14:paraId="6E6C122E" w14:textId="3F74E8C4" w:rsidR="00805F27" w:rsidRPr="00023764" w:rsidRDefault="00925F68" w:rsidP="002F2D0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ind w:left="426"/>
        <w:contextualSpacing/>
        <w:jc w:val="both"/>
      </w:pPr>
      <w:r>
        <w:t xml:space="preserve">„ 1. </w:t>
      </w:r>
      <w:r w:rsidR="002176DB" w:rsidRPr="00023764">
        <w:t>Maksymalna wartość dofinansowania w postaci pożyczki może wynieść do 100% kosztów kwalifikowanych, z zastrzeżeniem postanowień ust. 2. oraz z</w:t>
      </w:r>
      <w:r w:rsidR="00A33271">
        <w:t> </w:t>
      </w:r>
      <w:r w:rsidR="002176DB" w:rsidRPr="00023764">
        <w:t>uwzględnieniem postanowień § 4 Zasad</w:t>
      </w:r>
      <w:r>
        <w:t>”,</w:t>
      </w:r>
    </w:p>
    <w:p w14:paraId="6B828907" w14:textId="77777777" w:rsidR="00B33D24" w:rsidRPr="00023764" w:rsidRDefault="00B33D24" w:rsidP="00A332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ind w:left="851"/>
        <w:contextualSpacing/>
        <w:jc w:val="both"/>
        <w:rPr>
          <w:highlight w:val="green"/>
        </w:rPr>
      </w:pPr>
    </w:p>
    <w:p w14:paraId="094DF035" w14:textId="3B9FC6A4" w:rsidR="00E97F2A" w:rsidRPr="00E97F2A" w:rsidRDefault="006E3CF4" w:rsidP="00E97F2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jc w:val="both"/>
        <w:outlineLvl w:val="1"/>
        <w:rPr>
          <w:rFonts w:eastAsia="Arial Unicode MS"/>
          <w:bdr w:val="none" w:sz="0" w:space="0" w:color="auto"/>
        </w:rPr>
      </w:pPr>
      <w:r>
        <w:rPr>
          <w:rFonts w:eastAsia="Arial Unicode MS"/>
          <w:bdr w:val="none" w:sz="0" w:space="0" w:color="auto"/>
        </w:rPr>
        <w:t xml:space="preserve">Dział </w:t>
      </w:r>
      <w:r w:rsidRPr="00BA1F09">
        <w:rPr>
          <w:rFonts w:eastAsia="Arial Unicode MS"/>
          <w:b/>
          <w:bCs/>
          <w:bdr w:val="none" w:sz="0" w:space="0" w:color="auto"/>
        </w:rPr>
        <w:t>XI.</w:t>
      </w:r>
      <w:r w:rsidR="00E97F2A">
        <w:rPr>
          <w:rFonts w:eastAsia="Arial Unicode MS"/>
          <w:b/>
          <w:bCs/>
          <w:bdr w:val="none" w:sz="0" w:space="0" w:color="auto"/>
        </w:rPr>
        <w:t xml:space="preserve"> </w:t>
      </w:r>
      <w:r w:rsidR="00E97F2A" w:rsidRPr="00E97F2A">
        <w:rPr>
          <w:rFonts w:eastAsia="Arial Unicode MS"/>
          <w:bdr w:val="none" w:sz="0" w:space="0" w:color="auto"/>
        </w:rPr>
        <w:t>otrzymuje brzmienie:</w:t>
      </w:r>
    </w:p>
    <w:p w14:paraId="478BC6EA" w14:textId="31CC6510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>
        <w:rPr>
          <w:rFonts w:eastAsia="Arial Unicode MS"/>
          <w:bdr w:val="none" w:sz="0" w:space="0" w:color="auto"/>
        </w:rPr>
        <w:t>„</w:t>
      </w:r>
      <w:r w:rsidRPr="00E97F2A">
        <w:rPr>
          <w:rFonts w:eastAsia="Arial Unicode MS"/>
          <w:bdr w:val="none" w:sz="0" w:space="0" w:color="auto"/>
        </w:rPr>
        <w:t>1.</w:t>
      </w:r>
      <w:r w:rsidRPr="00E97F2A">
        <w:rPr>
          <w:rFonts w:eastAsia="Arial Unicode MS"/>
          <w:bdr w:val="none" w:sz="0" w:space="0" w:color="auto"/>
        </w:rPr>
        <w:tab/>
        <w:t>W sprawach nieuregulowanych w niniejszym Programie zastosowanie mają Zasady, o których mowa w dziale III ust. 2.</w:t>
      </w:r>
    </w:p>
    <w:p w14:paraId="585AD1E1" w14:textId="6E5E884C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2.</w:t>
      </w:r>
      <w:r w:rsidRPr="00E97F2A">
        <w:rPr>
          <w:rFonts w:eastAsia="Arial Unicode MS"/>
          <w:bdr w:val="none" w:sz="0" w:space="0" w:color="auto"/>
        </w:rPr>
        <w:tab/>
        <w:t>Zarząd Wojewódzkiego Funduszu określi w Regulaminie naboru wniosków o</w:t>
      </w:r>
      <w:r>
        <w:rPr>
          <w:rFonts w:eastAsia="Arial Unicode MS"/>
          <w:bdr w:val="none" w:sz="0" w:space="0" w:color="auto"/>
        </w:rPr>
        <w:t> </w:t>
      </w:r>
      <w:r w:rsidRPr="00E97F2A">
        <w:rPr>
          <w:rFonts w:eastAsia="Arial Unicode MS"/>
          <w:bdr w:val="none" w:sz="0" w:space="0" w:color="auto"/>
        </w:rPr>
        <w:t xml:space="preserve">dofinansowanie m.in.: </w:t>
      </w:r>
    </w:p>
    <w:p w14:paraId="2F327A88" w14:textId="77777777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1)</w:t>
      </w:r>
      <w:r w:rsidRPr="00E97F2A">
        <w:rPr>
          <w:rFonts w:eastAsia="Arial Unicode MS"/>
          <w:bdr w:val="none" w:sz="0" w:space="0" w:color="auto"/>
        </w:rPr>
        <w:tab/>
        <w:t>wykaz przedsięwzięć objętych dofinansowaniem w ramach Programu,</w:t>
      </w:r>
    </w:p>
    <w:p w14:paraId="3E938C6C" w14:textId="77777777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2)</w:t>
      </w:r>
      <w:r w:rsidRPr="00E97F2A">
        <w:rPr>
          <w:rFonts w:eastAsia="Arial Unicode MS"/>
          <w:bdr w:val="none" w:sz="0" w:space="0" w:color="auto"/>
        </w:rPr>
        <w:tab/>
        <w:t xml:space="preserve">zasady naboru wniosków o dofinansowanie. </w:t>
      </w:r>
    </w:p>
    <w:p w14:paraId="3D7EDCFB" w14:textId="44DECBC3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3.</w:t>
      </w:r>
      <w:r w:rsidRPr="00E97F2A">
        <w:rPr>
          <w:rFonts w:eastAsia="Arial Unicode MS"/>
          <w:bdr w:val="none" w:sz="0" w:space="0" w:color="auto"/>
        </w:rPr>
        <w:tab/>
        <w:t>Program, Regulamin naboru wniosków o dofinansowanie oraz ogłoszenie o naborze wniosków opublikowane zostaną na stronie internetowej Wojewódzkiego Funduszu www.wfosigw.torun.pl i w Biuletynie Informacji Publicznej (bip.wfosigw.torun.pl).</w:t>
      </w:r>
    </w:p>
    <w:p w14:paraId="4F1A38CD" w14:textId="203DCEB5" w:rsidR="008541CC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4.</w:t>
      </w:r>
      <w:r w:rsidRPr="00E97F2A">
        <w:rPr>
          <w:rFonts w:eastAsia="Arial Unicode MS"/>
          <w:bdr w:val="none" w:sz="0" w:space="0" w:color="auto"/>
        </w:rPr>
        <w:tab/>
        <w:t>Rada Nadzorcza może zmienić postanowienia Programu</w:t>
      </w:r>
      <w:r>
        <w:rPr>
          <w:rFonts w:eastAsia="Arial Unicode MS"/>
          <w:bdr w:val="none" w:sz="0" w:space="0" w:color="auto"/>
        </w:rPr>
        <w:t>”,</w:t>
      </w:r>
    </w:p>
    <w:p w14:paraId="7E2FBECE" w14:textId="77777777" w:rsidR="00E97F2A" w:rsidRPr="008541CC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</w:p>
    <w:p w14:paraId="107DE87E" w14:textId="528A861E" w:rsidR="003D5E69" w:rsidRPr="00023764" w:rsidRDefault="00925F68" w:rsidP="00A3327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jc w:val="both"/>
        <w:outlineLvl w:val="1"/>
        <w:rPr>
          <w:rFonts w:eastAsia="Arial Unicode MS"/>
          <w:highlight w:val="green"/>
          <w:bdr w:val="none" w:sz="0" w:space="0" w:color="auto"/>
        </w:rPr>
      </w:pPr>
      <w:r>
        <w:rPr>
          <w:rFonts w:eastAsia="Arial Unicode MS"/>
          <w:bdr w:val="none" w:sz="0" w:space="0" w:color="auto"/>
        </w:rPr>
        <w:t>Skreśla</w:t>
      </w:r>
      <w:r w:rsidR="002176DB" w:rsidRPr="00023764">
        <w:rPr>
          <w:rFonts w:eastAsia="Arial Unicode MS"/>
          <w:bdr w:val="none" w:sz="0" w:space="0" w:color="auto"/>
        </w:rPr>
        <w:t xml:space="preserve"> się </w:t>
      </w:r>
      <w:r w:rsidR="008647E3" w:rsidRPr="00023764">
        <w:rPr>
          <w:rFonts w:eastAsia="Arial Unicode MS"/>
          <w:bdr w:val="none" w:sz="0" w:space="0" w:color="auto"/>
        </w:rPr>
        <w:t xml:space="preserve">dział </w:t>
      </w:r>
      <w:r w:rsidR="008647E3" w:rsidRPr="00023764">
        <w:rPr>
          <w:rFonts w:eastAsia="Arial Unicode MS"/>
          <w:b/>
          <w:bCs/>
        </w:rPr>
        <w:t>XII.</w:t>
      </w:r>
    </w:p>
    <w:p w14:paraId="594E79EB" w14:textId="398F2470" w:rsidR="006211DB" w:rsidRPr="00023764" w:rsidRDefault="006211DB" w:rsidP="00A33271">
      <w:pPr>
        <w:pStyle w:val="Akapitzlist"/>
        <w:ind w:left="426"/>
        <w:jc w:val="both"/>
      </w:pPr>
    </w:p>
    <w:p w14:paraId="32A808E9" w14:textId="77777777" w:rsidR="006211DB" w:rsidRPr="00023764" w:rsidRDefault="006211DB" w:rsidP="00A33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A92A1" w14:textId="5A6C1ED6" w:rsidR="006211DB" w:rsidRDefault="005C34B8" w:rsidP="00A33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40EFF" w14:textId="588A744F" w:rsidR="00F86C82" w:rsidRDefault="00F86C82" w:rsidP="001766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00E7DCC0" w14:textId="77777777" w:rsidR="00F86C82" w:rsidRPr="00023764" w:rsidRDefault="00F86C82" w:rsidP="00A33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C82" w:rsidRPr="0002376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A403" w14:textId="77777777" w:rsidR="0044125E" w:rsidRDefault="0044125E">
      <w:pPr>
        <w:spacing w:after="0" w:line="240" w:lineRule="auto"/>
      </w:pPr>
      <w:r>
        <w:separator/>
      </w:r>
    </w:p>
  </w:endnote>
  <w:endnote w:type="continuationSeparator" w:id="0">
    <w:p w14:paraId="0F7BCC8F" w14:textId="77777777" w:rsidR="0044125E" w:rsidRDefault="0044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EB72" w14:textId="77777777" w:rsidR="006211DB" w:rsidRDefault="005C34B8">
    <w:pPr>
      <w:pStyle w:val="Stopka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F3B1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F3B1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0482" w14:textId="77777777" w:rsidR="0044125E" w:rsidRDefault="0044125E">
      <w:pPr>
        <w:spacing w:after="0" w:line="240" w:lineRule="auto"/>
      </w:pPr>
      <w:r>
        <w:separator/>
      </w:r>
    </w:p>
  </w:footnote>
  <w:footnote w:type="continuationSeparator" w:id="0">
    <w:p w14:paraId="68F3AC79" w14:textId="77777777" w:rsidR="0044125E" w:rsidRDefault="0044125E">
      <w:pPr>
        <w:spacing w:after="0" w:line="240" w:lineRule="auto"/>
      </w:pPr>
      <w:r>
        <w:continuationSeparator/>
      </w:r>
    </w:p>
  </w:footnote>
  <w:footnote w:id="1">
    <w:p w14:paraId="17A250A4" w14:textId="77777777" w:rsidR="00017E3E" w:rsidRDefault="00017E3E" w:rsidP="00017E3E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Odwoanieprzypisudolnego"/>
        </w:rPr>
        <w:footnoteRef/>
      </w:r>
      <w:r>
        <w:t xml:space="preserve"> Stopa bazowa to wysokość oprocentowania stosowana do obliczania wartości pomocy publicznej ustalana przez Komisję Europejską. Dane dotyczące stopy bazowej są publikowane na stronie Urzędu Ochrony Konkurencji </w:t>
      </w:r>
      <w:r>
        <w:br/>
        <w:t xml:space="preserve">i Konsumentów </w:t>
      </w:r>
      <w:hyperlink r:id="rId1" w:history="1">
        <w:r w:rsidRPr="00512419">
          <w:rPr>
            <w:rStyle w:val="Hipercze"/>
          </w:rPr>
          <w:t>www.uokik.gov.pl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560E" w14:textId="1A26A3DF" w:rsidR="001E32C8" w:rsidRPr="002D5D66" w:rsidRDefault="001E32C8" w:rsidP="001E32C8">
    <w:pPr>
      <w:pStyle w:val="Nagwek"/>
      <w:jc w:val="right"/>
      <w:rPr>
        <w:rFonts w:ascii="Times New Roman" w:hAnsi="Times New Roman" w:cs="Times New Roman"/>
        <w:i/>
        <w:iCs/>
      </w:rPr>
    </w:pPr>
    <w:r w:rsidRPr="002D5D66">
      <w:rPr>
        <w:rFonts w:ascii="Times New Roman" w:hAnsi="Times New Roman" w:cs="Times New Roman"/>
        <w:i/>
        <w:iCs/>
      </w:rPr>
      <w:t xml:space="preserve">Załącznik nr 1 do uchwały nr </w:t>
    </w:r>
    <w:r w:rsidR="00ED356E">
      <w:rPr>
        <w:rFonts w:ascii="Times New Roman" w:hAnsi="Times New Roman" w:cs="Times New Roman"/>
        <w:i/>
        <w:iCs/>
      </w:rPr>
      <w:t>27</w:t>
    </w:r>
    <w:r w:rsidRPr="002D5D66">
      <w:rPr>
        <w:rFonts w:ascii="Times New Roman" w:hAnsi="Times New Roman" w:cs="Times New Roman"/>
        <w:i/>
        <w:iCs/>
      </w:rPr>
      <w:t xml:space="preserve">/22 </w:t>
    </w:r>
    <w:r w:rsidR="002D5D66" w:rsidRPr="002D5D66">
      <w:rPr>
        <w:rFonts w:ascii="Times New Roman" w:hAnsi="Times New Roman" w:cs="Times New Roman"/>
        <w:i/>
        <w:iCs/>
      </w:rPr>
      <w:t>Rady Nadzorczej</w:t>
    </w:r>
    <w:r w:rsidRPr="002D5D66">
      <w:rPr>
        <w:rFonts w:ascii="Times New Roman" w:hAnsi="Times New Roman" w:cs="Times New Roman"/>
        <w:i/>
        <w:iCs/>
      </w:rPr>
      <w:t xml:space="preserve"> WFOŚiGW w Toruniu z dnia</w:t>
    </w:r>
    <w:r w:rsidR="00130E5B" w:rsidRPr="002D5D66">
      <w:rPr>
        <w:rFonts w:ascii="Times New Roman" w:hAnsi="Times New Roman" w:cs="Times New Roman"/>
        <w:i/>
        <w:iCs/>
      </w:rPr>
      <w:t xml:space="preserve"> </w:t>
    </w:r>
    <w:r w:rsidR="00ED356E">
      <w:rPr>
        <w:rFonts w:ascii="Times New Roman" w:hAnsi="Times New Roman" w:cs="Times New Roman"/>
        <w:i/>
        <w:iCs/>
      </w:rPr>
      <w:t>12</w:t>
    </w:r>
    <w:r w:rsidR="00130E5B" w:rsidRPr="002D5D66">
      <w:rPr>
        <w:rFonts w:ascii="Times New Roman" w:hAnsi="Times New Roman" w:cs="Times New Roman"/>
        <w:i/>
        <w:iCs/>
      </w:rPr>
      <w:t>.</w:t>
    </w:r>
    <w:r w:rsidRPr="002D5D66">
      <w:rPr>
        <w:rFonts w:ascii="Times New Roman" w:hAnsi="Times New Roman" w:cs="Times New Roman"/>
        <w:i/>
        <w:iCs/>
      </w:rPr>
      <w:t>0</w:t>
    </w:r>
    <w:r w:rsidR="00130E5B" w:rsidRPr="002D5D66">
      <w:rPr>
        <w:rFonts w:ascii="Times New Roman" w:hAnsi="Times New Roman" w:cs="Times New Roman"/>
        <w:i/>
        <w:iCs/>
      </w:rPr>
      <w:t>5</w:t>
    </w:r>
    <w:r w:rsidRPr="002D5D66">
      <w:rPr>
        <w:rFonts w:ascii="Times New Roman" w:hAnsi="Times New Roman" w:cs="Times New Roman"/>
        <w:i/>
        <w:iCs/>
      </w:rPr>
      <w:t>.2022 r.</w:t>
    </w:r>
  </w:p>
  <w:p w14:paraId="12B05881" w14:textId="77777777" w:rsidR="001E32C8" w:rsidRDefault="001E3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DA9"/>
    <w:multiLevelType w:val="hybridMultilevel"/>
    <w:tmpl w:val="86C0D78C"/>
    <w:numStyleLink w:val="Zaimportowanystyl3"/>
  </w:abstractNum>
  <w:abstractNum w:abstractNumId="1" w15:restartNumberingAfterBreak="0">
    <w:nsid w:val="04C648DA"/>
    <w:multiLevelType w:val="hybridMultilevel"/>
    <w:tmpl w:val="E9201C16"/>
    <w:numStyleLink w:val="Zaimportowanystyl4"/>
  </w:abstractNum>
  <w:abstractNum w:abstractNumId="2" w15:restartNumberingAfterBreak="0">
    <w:nsid w:val="076612B2"/>
    <w:multiLevelType w:val="hybridMultilevel"/>
    <w:tmpl w:val="E8686B8E"/>
    <w:lvl w:ilvl="0" w:tplc="378C509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154"/>
    <w:multiLevelType w:val="hybridMultilevel"/>
    <w:tmpl w:val="9544DFE0"/>
    <w:styleLink w:val="Zaimportowanystyl1"/>
    <w:lvl w:ilvl="0" w:tplc="24E2531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89454">
      <w:start w:val="1"/>
      <w:numFmt w:val="decimal"/>
      <w:lvlText w:val="%2."/>
      <w:lvlJc w:val="left"/>
      <w:pPr>
        <w:ind w:left="1146" w:hanging="426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65B28">
      <w:start w:val="1"/>
      <w:numFmt w:val="lowerLetter"/>
      <w:lvlText w:val="%3)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867F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C0F9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AF3C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030F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2617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C63C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CC6E0E"/>
    <w:multiLevelType w:val="hybridMultilevel"/>
    <w:tmpl w:val="42DC79AE"/>
    <w:lvl w:ilvl="0" w:tplc="13282C68">
      <w:start w:val="1"/>
      <w:numFmt w:val="decimal"/>
      <w:lvlText w:val="%1."/>
      <w:lvlJc w:val="left"/>
      <w:pPr>
        <w:ind w:left="851" w:hanging="425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55"/>
    <w:multiLevelType w:val="hybridMultilevel"/>
    <w:tmpl w:val="9544DFE0"/>
    <w:numStyleLink w:val="Zaimportowanystyl1"/>
  </w:abstractNum>
  <w:abstractNum w:abstractNumId="6" w15:restartNumberingAfterBreak="0">
    <w:nsid w:val="23DF6CC2"/>
    <w:multiLevelType w:val="hybridMultilevel"/>
    <w:tmpl w:val="593CEDE4"/>
    <w:styleLink w:val="Zaimportowanystyl5"/>
    <w:lvl w:ilvl="0" w:tplc="F654A7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419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EB3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41C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ECD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88D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8BE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C9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0ACE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C309C"/>
    <w:multiLevelType w:val="hybridMultilevel"/>
    <w:tmpl w:val="03D203F2"/>
    <w:lvl w:ilvl="0" w:tplc="7F623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E17369"/>
    <w:multiLevelType w:val="hybridMultilevel"/>
    <w:tmpl w:val="8C7CE69A"/>
    <w:lvl w:ilvl="0" w:tplc="DC8ED6D2">
      <w:start w:val="10"/>
      <w:numFmt w:val="decimal"/>
      <w:lvlText w:val="%1."/>
      <w:lvlJc w:val="left"/>
      <w:pPr>
        <w:ind w:left="425" w:hanging="425"/>
      </w:pPr>
      <w:rPr>
        <w:rFonts w:ascii="Calibri" w:eastAsia="Arial Unicode MS" w:hAnsi="Calibri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4A7"/>
    <w:multiLevelType w:val="hybridMultilevel"/>
    <w:tmpl w:val="E9201C16"/>
    <w:styleLink w:val="Zaimportowanystyl4"/>
    <w:lvl w:ilvl="0" w:tplc="FBDCB070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CF292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01316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C6E4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E5A6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85FAC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47C40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8AA52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A1F48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D30A88"/>
    <w:multiLevelType w:val="hybridMultilevel"/>
    <w:tmpl w:val="238AE5D4"/>
    <w:lvl w:ilvl="0" w:tplc="B73CECCC">
      <w:start w:val="1"/>
      <w:numFmt w:val="decimal"/>
      <w:lvlText w:val="%1."/>
      <w:lvlJc w:val="left"/>
      <w:pPr>
        <w:ind w:left="425" w:hanging="425"/>
      </w:pPr>
      <w:rPr>
        <w:rFonts w:ascii="Calibri" w:eastAsia="Arial Unicode MS" w:hAnsi="Calibri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5B74"/>
    <w:multiLevelType w:val="multilevel"/>
    <w:tmpl w:val="6D361B04"/>
    <w:lvl w:ilvl="0">
      <w:start w:val="13"/>
      <w:numFmt w:val="decimal"/>
      <w:lvlText w:val="%1."/>
      <w:lvlJc w:val="left"/>
      <w:pPr>
        <w:tabs>
          <w:tab w:val="num" w:pos="0"/>
        </w:tabs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AA2722"/>
    <w:multiLevelType w:val="hybridMultilevel"/>
    <w:tmpl w:val="593CEDE4"/>
    <w:numStyleLink w:val="Zaimportowanystyl5"/>
  </w:abstractNum>
  <w:abstractNum w:abstractNumId="13" w15:restartNumberingAfterBreak="0">
    <w:nsid w:val="5B255189"/>
    <w:multiLevelType w:val="hybridMultilevel"/>
    <w:tmpl w:val="BA3625A6"/>
    <w:lvl w:ilvl="0" w:tplc="99EA38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FE5A8F"/>
    <w:multiLevelType w:val="hybridMultilevel"/>
    <w:tmpl w:val="527CE358"/>
    <w:lvl w:ilvl="0" w:tplc="656C5754">
      <w:start w:val="1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D59"/>
    <w:multiLevelType w:val="hybridMultilevel"/>
    <w:tmpl w:val="09A8EF8A"/>
    <w:lvl w:ilvl="0" w:tplc="CD9EB302">
      <w:start w:val="2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766C"/>
    <w:multiLevelType w:val="hybridMultilevel"/>
    <w:tmpl w:val="07A24018"/>
    <w:lvl w:ilvl="0" w:tplc="D30E4F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C600E9"/>
    <w:multiLevelType w:val="hybridMultilevel"/>
    <w:tmpl w:val="912259F6"/>
    <w:lvl w:ilvl="0" w:tplc="B80E709C">
      <w:start w:val="1"/>
      <w:numFmt w:val="decimal"/>
      <w:lvlText w:val="%1."/>
      <w:lvlJc w:val="left"/>
      <w:pPr>
        <w:ind w:left="851" w:hanging="425"/>
      </w:pPr>
      <w:rPr>
        <w:rFonts w:ascii="Calibri" w:eastAsia="Arial Unicode MS" w:hAnsi="Calibri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E474D"/>
    <w:multiLevelType w:val="hybridMultilevel"/>
    <w:tmpl w:val="4D3A35F4"/>
    <w:numStyleLink w:val="Zaimportowanystyl2"/>
  </w:abstractNum>
  <w:abstractNum w:abstractNumId="19" w15:restartNumberingAfterBreak="0">
    <w:nsid w:val="6B1B3F62"/>
    <w:multiLevelType w:val="hybridMultilevel"/>
    <w:tmpl w:val="0722ED0A"/>
    <w:numStyleLink w:val="Zaimportowanystyl11"/>
  </w:abstractNum>
  <w:abstractNum w:abstractNumId="20" w15:restartNumberingAfterBreak="0">
    <w:nsid w:val="6D9D6F25"/>
    <w:multiLevelType w:val="hybridMultilevel"/>
    <w:tmpl w:val="4D3A35F4"/>
    <w:styleLink w:val="Zaimportowanystyl2"/>
    <w:lvl w:ilvl="0" w:tplc="3E54759E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680C2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0BBEE">
      <w:start w:val="1"/>
      <w:numFmt w:val="lowerRoman"/>
      <w:lvlText w:val="%3."/>
      <w:lvlJc w:val="left"/>
      <w:pPr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E3842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08102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47B28">
      <w:start w:val="1"/>
      <w:numFmt w:val="lowerRoman"/>
      <w:lvlText w:val="%6."/>
      <w:lvlJc w:val="left"/>
      <w:pPr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8A96C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4321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030">
      <w:start w:val="1"/>
      <w:numFmt w:val="lowerRoman"/>
      <w:lvlText w:val="%9."/>
      <w:lvlJc w:val="left"/>
      <w:pPr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D2242D4"/>
    <w:multiLevelType w:val="hybridMultilevel"/>
    <w:tmpl w:val="0722ED0A"/>
    <w:styleLink w:val="Zaimportowanystyl11"/>
    <w:lvl w:ilvl="0" w:tplc="2AA2135C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224540">
      <w:start w:val="1"/>
      <w:numFmt w:val="decimal"/>
      <w:lvlText w:val="%2."/>
      <w:lvlJc w:val="left"/>
      <w:pPr>
        <w:ind w:left="851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E4F68">
      <w:start w:val="1"/>
      <w:numFmt w:val="lowerLetter"/>
      <w:lvlText w:val="%3."/>
      <w:lvlJc w:val="left"/>
      <w:pPr>
        <w:ind w:left="10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C66B6">
      <w:start w:val="1"/>
      <w:numFmt w:val="lowerRoman"/>
      <w:lvlText w:val="%4)"/>
      <w:lvlJc w:val="left"/>
      <w:pPr>
        <w:ind w:left="17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EF096">
      <w:start w:val="1"/>
      <w:numFmt w:val="lowerRoman"/>
      <w:lvlText w:val="%5)"/>
      <w:lvlJc w:val="left"/>
      <w:pPr>
        <w:ind w:left="25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A425C8">
      <w:start w:val="1"/>
      <w:numFmt w:val="lowerLetter"/>
      <w:lvlText w:val="(%6)"/>
      <w:lvlJc w:val="left"/>
      <w:pPr>
        <w:ind w:left="32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A62D3A">
      <w:start w:val="1"/>
      <w:numFmt w:val="lowerRoman"/>
      <w:lvlText w:val="(%7)"/>
      <w:lvlJc w:val="left"/>
      <w:pPr>
        <w:ind w:left="39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81CB8">
      <w:start w:val="1"/>
      <w:numFmt w:val="lowerLetter"/>
      <w:lvlText w:val="(%8)"/>
      <w:lvlJc w:val="left"/>
      <w:pPr>
        <w:ind w:left="46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E0A84">
      <w:start w:val="1"/>
      <w:numFmt w:val="lowerRoman"/>
      <w:lvlText w:val="(%9)"/>
      <w:lvlJc w:val="left"/>
      <w:pPr>
        <w:ind w:left="53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E166E50"/>
    <w:multiLevelType w:val="hybridMultilevel"/>
    <w:tmpl w:val="E2708362"/>
    <w:lvl w:ilvl="0" w:tplc="C186C1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E70483"/>
    <w:multiLevelType w:val="hybridMultilevel"/>
    <w:tmpl w:val="86C0D78C"/>
    <w:styleLink w:val="Zaimportowanystyl3"/>
    <w:lvl w:ilvl="0" w:tplc="CF3EFB9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B88524">
      <w:start w:val="1"/>
      <w:numFmt w:val="lowerLetter"/>
      <w:lvlText w:val="%2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A5D78">
      <w:start w:val="1"/>
      <w:numFmt w:val="lowerRoman"/>
      <w:lvlText w:val="%3."/>
      <w:lvlJc w:val="left"/>
      <w:pPr>
        <w:ind w:left="171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278B2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011EA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0378C">
      <w:start w:val="1"/>
      <w:numFmt w:val="lowerRoman"/>
      <w:lvlText w:val="%6."/>
      <w:lvlJc w:val="left"/>
      <w:pPr>
        <w:ind w:left="387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E7B2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C552A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C528A">
      <w:start w:val="1"/>
      <w:numFmt w:val="lowerRoman"/>
      <w:lvlText w:val="%9."/>
      <w:lvlJc w:val="left"/>
      <w:pPr>
        <w:ind w:left="60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3171945">
    <w:abstractNumId w:val="3"/>
  </w:num>
  <w:num w:numId="2" w16cid:durableId="1884781445">
    <w:abstractNumId w:val="5"/>
  </w:num>
  <w:num w:numId="3" w16cid:durableId="1757627168">
    <w:abstractNumId w:val="20"/>
  </w:num>
  <w:num w:numId="4" w16cid:durableId="121383456">
    <w:abstractNumId w:val="18"/>
  </w:num>
  <w:num w:numId="5" w16cid:durableId="627396002">
    <w:abstractNumId w:val="18"/>
    <w:lvlOverride w:ilvl="0">
      <w:lvl w:ilvl="0" w:tplc="5202AF92">
        <w:start w:val="1"/>
        <w:numFmt w:val="decimal"/>
        <w:lvlText w:val="%1."/>
        <w:lvlJc w:val="left"/>
        <w:pPr>
          <w:tabs>
            <w:tab w:val="left" w:pos="360"/>
          </w:tabs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6CCBFA">
        <w:start w:val="1"/>
        <w:numFmt w:val="lowerLetter"/>
        <w:lvlText w:val="%2."/>
        <w:lvlJc w:val="left"/>
        <w:pPr>
          <w:tabs>
            <w:tab w:val="left" w:pos="360"/>
          </w:tabs>
          <w:ind w:left="19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A39DA">
        <w:start w:val="1"/>
        <w:numFmt w:val="lowerRoman"/>
        <w:lvlText w:val="%3."/>
        <w:lvlJc w:val="left"/>
        <w:pPr>
          <w:tabs>
            <w:tab w:val="left" w:pos="360"/>
          </w:tabs>
          <w:ind w:left="271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CF250">
        <w:start w:val="1"/>
        <w:numFmt w:val="decimal"/>
        <w:lvlText w:val="%4."/>
        <w:lvlJc w:val="left"/>
        <w:pPr>
          <w:tabs>
            <w:tab w:val="left" w:pos="360"/>
          </w:tabs>
          <w:ind w:left="3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C695D6">
        <w:start w:val="1"/>
        <w:numFmt w:val="lowerLetter"/>
        <w:lvlText w:val="%5."/>
        <w:lvlJc w:val="left"/>
        <w:pPr>
          <w:tabs>
            <w:tab w:val="left" w:pos="360"/>
          </w:tabs>
          <w:ind w:left="41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38BC1C">
        <w:start w:val="1"/>
        <w:numFmt w:val="lowerRoman"/>
        <w:lvlText w:val="%6."/>
        <w:lvlJc w:val="left"/>
        <w:pPr>
          <w:tabs>
            <w:tab w:val="left" w:pos="360"/>
          </w:tabs>
          <w:ind w:left="487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21560">
        <w:start w:val="1"/>
        <w:numFmt w:val="decimal"/>
        <w:lvlText w:val="%7."/>
        <w:lvlJc w:val="left"/>
        <w:pPr>
          <w:tabs>
            <w:tab w:val="left" w:pos="360"/>
          </w:tabs>
          <w:ind w:left="5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488814">
        <w:start w:val="1"/>
        <w:numFmt w:val="lowerLetter"/>
        <w:lvlText w:val="%8."/>
        <w:lvlJc w:val="left"/>
        <w:pPr>
          <w:tabs>
            <w:tab w:val="left" w:pos="360"/>
          </w:tabs>
          <w:ind w:left="631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B4EB46">
        <w:start w:val="1"/>
        <w:numFmt w:val="lowerRoman"/>
        <w:lvlText w:val="%9."/>
        <w:lvlJc w:val="left"/>
        <w:pPr>
          <w:tabs>
            <w:tab w:val="left" w:pos="360"/>
          </w:tabs>
          <w:ind w:left="703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92078967">
    <w:abstractNumId w:val="23"/>
  </w:num>
  <w:num w:numId="7" w16cid:durableId="1495488432">
    <w:abstractNumId w:val="0"/>
  </w:num>
  <w:num w:numId="8" w16cid:durableId="346642610">
    <w:abstractNumId w:val="0"/>
    <w:lvlOverride w:ilvl="0">
      <w:startOverride w:val="5"/>
    </w:lvlOverride>
  </w:num>
  <w:num w:numId="9" w16cid:durableId="2127506032">
    <w:abstractNumId w:val="9"/>
  </w:num>
  <w:num w:numId="10" w16cid:durableId="957756592">
    <w:abstractNumId w:val="1"/>
  </w:num>
  <w:num w:numId="11" w16cid:durableId="743064109">
    <w:abstractNumId w:val="1"/>
    <w:lvlOverride w:ilvl="0">
      <w:lvl w:ilvl="0" w:tplc="FBACA1D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F8BBCE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8C0BA">
        <w:start w:val="1"/>
        <w:numFmt w:val="lowerRoman"/>
        <w:lvlText w:val="%3."/>
        <w:lvlJc w:val="left"/>
        <w:pPr>
          <w:ind w:left="236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050CC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928C34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FCF4A8">
        <w:start w:val="1"/>
        <w:numFmt w:val="lowerRoman"/>
        <w:lvlText w:val="%6."/>
        <w:lvlJc w:val="left"/>
        <w:pPr>
          <w:ind w:left="452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D2B652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18CDE0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AA628">
        <w:start w:val="1"/>
        <w:numFmt w:val="lowerRoman"/>
        <w:lvlText w:val="%9."/>
        <w:lvlJc w:val="left"/>
        <w:pPr>
          <w:ind w:left="668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717822788">
    <w:abstractNumId w:val="0"/>
    <w:lvlOverride w:ilvl="0">
      <w:startOverride w:val="6"/>
    </w:lvlOverride>
  </w:num>
  <w:num w:numId="13" w16cid:durableId="1141582735">
    <w:abstractNumId w:val="0"/>
    <w:lvlOverride w:ilvl="0">
      <w:lvl w:ilvl="0" w:tplc="F6C0CAA4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89CCC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AF2B2">
        <w:start w:val="1"/>
        <w:numFmt w:val="lowerRoman"/>
        <w:lvlText w:val="%3."/>
        <w:lvlJc w:val="left"/>
        <w:pPr>
          <w:ind w:left="180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2A032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0664E2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63FAE">
        <w:start w:val="1"/>
        <w:numFmt w:val="lowerRoman"/>
        <w:lvlText w:val="%6."/>
        <w:lvlJc w:val="left"/>
        <w:pPr>
          <w:ind w:left="396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E008BE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34169C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8CE856">
        <w:start w:val="1"/>
        <w:numFmt w:val="lowerRoman"/>
        <w:lvlText w:val="%9."/>
        <w:lvlJc w:val="left"/>
        <w:pPr>
          <w:ind w:left="612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045473669">
    <w:abstractNumId w:val="6"/>
  </w:num>
  <w:num w:numId="15" w16cid:durableId="2135321298">
    <w:abstractNumId w:val="12"/>
  </w:num>
  <w:num w:numId="16" w16cid:durableId="1194077608">
    <w:abstractNumId w:val="0"/>
    <w:lvlOverride w:ilvl="0">
      <w:startOverride w:val="13"/>
      <w:lvl w:ilvl="0" w:tplc="F6C0CAA4">
        <w:start w:val="13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189CCC">
        <w:start w:val="1"/>
        <w:numFmt w:val="lowerLetter"/>
        <w:lvlText w:val="%2."/>
        <w:lvlJc w:val="left"/>
        <w:pPr>
          <w:tabs>
            <w:tab w:val="left" w:pos="426"/>
          </w:tabs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7AF2B2">
        <w:start w:val="1"/>
        <w:numFmt w:val="lowerRoman"/>
        <w:lvlText w:val="%3."/>
        <w:lvlJc w:val="left"/>
        <w:pPr>
          <w:tabs>
            <w:tab w:val="left" w:pos="426"/>
          </w:tabs>
          <w:ind w:left="1724" w:hanging="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2A0324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0664E2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63FAE">
        <w:start w:val="1"/>
        <w:numFmt w:val="lowerRoman"/>
        <w:lvlText w:val="%6."/>
        <w:lvlJc w:val="left"/>
        <w:pPr>
          <w:tabs>
            <w:tab w:val="left" w:pos="426"/>
          </w:tabs>
          <w:ind w:left="3884" w:hanging="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E008BE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34169C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8CE856">
        <w:start w:val="1"/>
        <w:numFmt w:val="lowerRoman"/>
        <w:lvlText w:val="%9."/>
        <w:lvlJc w:val="left"/>
        <w:pPr>
          <w:tabs>
            <w:tab w:val="left" w:pos="426"/>
          </w:tabs>
          <w:ind w:left="6044" w:hanging="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65641005">
    <w:abstractNumId w:val="21"/>
  </w:num>
  <w:num w:numId="18" w16cid:durableId="162360331">
    <w:abstractNumId w:val="19"/>
  </w:num>
  <w:num w:numId="19" w16cid:durableId="39870025">
    <w:abstractNumId w:val="22"/>
  </w:num>
  <w:num w:numId="20" w16cid:durableId="1891647796">
    <w:abstractNumId w:val="17"/>
  </w:num>
  <w:num w:numId="21" w16cid:durableId="1953119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340226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1818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0900755">
    <w:abstractNumId w:val="16"/>
  </w:num>
  <w:num w:numId="25" w16cid:durableId="60444371">
    <w:abstractNumId w:val="10"/>
  </w:num>
  <w:num w:numId="26" w16cid:durableId="1890532196">
    <w:abstractNumId w:val="8"/>
  </w:num>
  <w:num w:numId="27" w16cid:durableId="2140107421">
    <w:abstractNumId w:val="14"/>
  </w:num>
  <w:num w:numId="28" w16cid:durableId="1244877202">
    <w:abstractNumId w:val="2"/>
  </w:num>
  <w:num w:numId="29" w16cid:durableId="1316181686">
    <w:abstractNumId w:val="11"/>
  </w:num>
  <w:num w:numId="30" w16cid:durableId="440344175">
    <w:abstractNumId w:val="4"/>
  </w:num>
  <w:num w:numId="31" w16cid:durableId="1095203830">
    <w:abstractNumId w:val="13"/>
  </w:num>
  <w:num w:numId="32" w16cid:durableId="1899240097">
    <w:abstractNumId w:val="7"/>
  </w:num>
  <w:num w:numId="33" w16cid:durableId="1670597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DB"/>
    <w:rsid w:val="00017E3E"/>
    <w:rsid w:val="00023764"/>
    <w:rsid w:val="00040B9A"/>
    <w:rsid w:val="000F7BF4"/>
    <w:rsid w:val="00130E5B"/>
    <w:rsid w:val="00145598"/>
    <w:rsid w:val="00160890"/>
    <w:rsid w:val="001766B2"/>
    <w:rsid w:val="001D1042"/>
    <w:rsid w:val="001E32C8"/>
    <w:rsid w:val="001F3B1E"/>
    <w:rsid w:val="00216CB1"/>
    <w:rsid w:val="00217573"/>
    <w:rsid w:val="002176DB"/>
    <w:rsid w:val="00226CF3"/>
    <w:rsid w:val="002D5D66"/>
    <w:rsid w:val="002F2D0A"/>
    <w:rsid w:val="00305BF6"/>
    <w:rsid w:val="00352069"/>
    <w:rsid w:val="003B4509"/>
    <w:rsid w:val="003D218A"/>
    <w:rsid w:val="003D58F1"/>
    <w:rsid w:val="003D5E69"/>
    <w:rsid w:val="0044125E"/>
    <w:rsid w:val="004B068A"/>
    <w:rsid w:val="005425E9"/>
    <w:rsid w:val="00580935"/>
    <w:rsid w:val="005C34B8"/>
    <w:rsid w:val="005F706E"/>
    <w:rsid w:val="006211DB"/>
    <w:rsid w:val="00633BBD"/>
    <w:rsid w:val="006D3B24"/>
    <w:rsid w:val="006E3CF4"/>
    <w:rsid w:val="00720274"/>
    <w:rsid w:val="007373EA"/>
    <w:rsid w:val="007C179A"/>
    <w:rsid w:val="00805F27"/>
    <w:rsid w:val="008541CC"/>
    <w:rsid w:val="008647E3"/>
    <w:rsid w:val="00886BF7"/>
    <w:rsid w:val="008914B1"/>
    <w:rsid w:val="0090479B"/>
    <w:rsid w:val="009135DC"/>
    <w:rsid w:val="00925F68"/>
    <w:rsid w:val="0095237E"/>
    <w:rsid w:val="009F2417"/>
    <w:rsid w:val="00A33271"/>
    <w:rsid w:val="00AD29E0"/>
    <w:rsid w:val="00B11A2E"/>
    <w:rsid w:val="00B33D24"/>
    <w:rsid w:val="00BA1F09"/>
    <w:rsid w:val="00C1464B"/>
    <w:rsid w:val="00CA4F31"/>
    <w:rsid w:val="00CC77D2"/>
    <w:rsid w:val="00CF3DF2"/>
    <w:rsid w:val="00D1506F"/>
    <w:rsid w:val="00D33F10"/>
    <w:rsid w:val="00D473E1"/>
    <w:rsid w:val="00D85BE9"/>
    <w:rsid w:val="00DD09A2"/>
    <w:rsid w:val="00E01DA4"/>
    <w:rsid w:val="00E310D1"/>
    <w:rsid w:val="00E83116"/>
    <w:rsid w:val="00E97F2A"/>
    <w:rsid w:val="00ED356E"/>
    <w:rsid w:val="00F86C82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FCE3E"/>
  <w15:docId w15:val="{F1D6B0E1-4261-43BF-9884-3BE3D066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</w:rPr>
  </w:style>
  <w:style w:type="paragraph" w:styleId="Nagwek3">
    <w:name w:val="heading 3"/>
    <w:next w:val="Normalny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763"/>
      <w:sz w:val="24"/>
      <w:szCs w:val="24"/>
      <w:u w:color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">
    <w:name w:val="Tekst"/>
    <w:uiPriority w:val="99"/>
    <w:pPr>
      <w:spacing w:before="40" w:line="259" w:lineRule="auto"/>
      <w:ind w:left="454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Nagwek">
    <w:name w:val="header"/>
    <w:basedOn w:val="Normalny"/>
    <w:link w:val="NagwekZnak"/>
    <w:unhideWhenUsed/>
    <w:rsid w:val="00CA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3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16CB1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numbering" w:customStyle="1" w:styleId="Zaimportowanystyl11">
    <w:name w:val="Zaimportowany styl 11"/>
    <w:rsid w:val="00216CB1"/>
    <w:pPr>
      <w:numPr>
        <w:numId w:val="17"/>
      </w:numPr>
    </w:pPr>
  </w:style>
  <w:style w:type="numbering" w:customStyle="1" w:styleId="Zaimportowanystyl12">
    <w:name w:val="Zaimportowany styl 12"/>
    <w:rsid w:val="003D5E69"/>
  </w:style>
  <w:style w:type="paragraph" w:styleId="Tekstprzypisudolnego">
    <w:name w:val="footnote text"/>
    <w:basedOn w:val="Normalny"/>
    <w:link w:val="TekstprzypisudolnegoZnak"/>
    <w:uiPriority w:val="99"/>
    <w:semiHidden/>
    <w:rsid w:val="008914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4B1"/>
    <w:rPr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914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25B6-583A-4644-B9F2-29378D50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Cichy</dc:creator>
  <cp:lastModifiedBy>Praca Zdalna6</cp:lastModifiedBy>
  <cp:revision>45</cp:revision>
  <cp:lastPrinted>2022-05-06T07:54:00Z</cp:lastPrinted>
  <dcterms:created xsi:type="dcterms:W3CDTF">2022-03-24T15:18:00Z</dcterms:created>
  <dcterms:modified xsi:type="dcterms:W3CDTF">2022-05-17T11:32:00Z</dcterms:modified>
</cp:coreProperties>
</file>